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4" w:type="dxa"/>
        <w:jc w:val="center"/>
        <w:tblLook w:val="01E0" w:firstRow="1" w:lastRow="1" w:firstColumn="1" w:lastColumn="1" w:noHBand="0" w:noVBand="0"/>
      </w:tblPr>
      <w:tblGrid>
        <w:gridCol w:w="9720"/>
        <w:gridCol w:w="222"/>
      </w:tblGrid>
      <w:tr w:rsidR="009E18F9" w:rsidRPr="009E18F9" w:rsidTr="001B3F4E">
        <w:trPr>
          <w:trHeight w:val="1242"/>
          <w:jc w:val="center"/>
        </w:trPr>
        <w:tc>
          <w:tcPr>
            <w:tcW w:w="3557" w:type="dxa"/>
          </w:tcPr>
          <w:tbl>
            <w:tblPr>
              <w:tblW w:w="9177" w:type="dxa"/>
              <w:tblInd w:w="327" w:type="dxa"/>
              <w:tblLook w:val="04A0" w:firstRow="1" w:lastRow="0" w:firstColumn="1" w:lastColumn="0" w:noHBand="0" w:noVBand="1"/>
            </w:tblPr>
            <w:tblGrid>
              <w:gridCol w:w="3402"/>
              <w:gridCol w:w="5775"/>
            </w:tblGrid>
            <w:tr w:rsidR="009E18F9" w:rsidRPr="009E18F9" w:rsidTr="001B3F4E">
              <w:trPr>
                <w:trHeight w:val="1133"/>
              </w:trPr>
              <w:tc>
                <w:tcPr>
                  <w:tcW w:w="3402" w:type="dxa"/>
                  <w:shd w:val="clear" w:color="auto" w:fill="auto"/>
                </w:tcPr>
                <w:p w:rsidR="009E18F9" w:rsidRPr="009E18F9" w:rsidRDefault="009E18F9" w:rsidP="009E18F9">
                  <w:pPr>
                    <w:spacing w:after="0" w:line="240" w:lineRule="auto"/>
                    <w:jc w:val="center"/>
                    <w:rPr>
                      <w:rFonts w:ascii="Times New Roman" w:eastAsia="Calibri" w:hAnsi="Times New Roman" w:cs="Times New Roman"/>
                      <w:sz w:val="26"/>
                      <w:szCs w:val="26"/>
                    </w:rPr>
                  </w:pPr>
                  <w:r w:rsidRPr="009E18F9">
                    <w:rPr>
                      <w:rFonts w:ascii="Times New Roman" w:eastAsia="Calibri" w:hAnsi="Times New Roman" w:cs="Times New Roman"/>
                      <w:sz w:val="26"/>
                      <w:szCs w:val="26"/>
                    </w:rPr>
                    <w:t>ỦY BAN PHÁP LUẬT</w:t>
                  </w:r>
                </w:p>
                <w:p w:rsidR="009E18F9" w:rsidRPr="009E18F9" w:rsidRDefault="009E18F9" w:rsidP="009E18F9">
                  <w:pPr>
                    <w:spacing w:after="0" w:line="240" w:lineRule="auto"/>
                    <w:jc w:val="center"/>
                    <w:rPr>
                      <w:rFonts w:ascii="Times New Roman" w:eastAsia="Calibri" w:hAnsi="Times New Roman" w:cs="Times New Roman"/>
                      <w:b/>
                      <w:sz w:val="26"/>
                      <w:szCs w:val="26"/>
                    </w:rPr>
                  </w:pPr>
                  <w:r w:rsidRPr="009E18F9">
                    <w:rPr>
                      <w:rFonts w:ascii="Times New Roman" w:eastAsia="Calibri" w:hAnsi="Times New Roman" w:cs="Times New Roman"/>
                      <w:b/>
                      <w:sz w:val="26"/>
                      <w:szCs w:val="26"/>
                    </w:rPr>
                    <w:t>VỤ PHÁP LUẬT</w:t>
                  </w:r>
                </w:p>
                <w:p w:rsidR="009E18F9" w:rsidRPr="009E18F9" w:rsidRDefault="009E18F9" w:rsidP="009E18F9">
                  <w:pPr>
                    <w:widowControl w:val="0"/>
                    <w:spacing w:after="0" w:line="240" w:lineRule="auto"/>
                    <w:ind w:right="82"/>
                    <w:contextualSpacing/>
                    <w:jc w:val="both"/>
                    <w:outlineLvl w:val="0"/>
                    <w:rPr>
                      <w:rFonts w:ascii="Times New Roman" w:eastAsia="Calibri" w:hAnsi="Times New Roman" w:cs="Times New Roman"/>
                      <w:b/>
                      <w:bCs/>
                      <w:sz w:val="26"/>
                      <w:szCs w:val="26"/>
                    </w:rPr>
                  </w:pPr>
                  <w:r w:rsidRPr="009E18F9">
                    <w:rPr>
                      <w:rFonts w:ascii="Times New Roman" w:eastAsia="Calibri" w:hAnsi="Times New Roman" w:cs="Times New Roman"/>
                      <w:b/>
                      <w:sz w:val="12"/>
                      <w:szCs w:val="26"/>
                    </w:rPr>
                    <w:t xml:space="preserve">                                     _______________</w:t>
                  </w:r>
                </w:p>
              </w:tc>
              <w:tc>
                <w:tcPr>
                  <w:tcW w:w="5775" w:type="dxa"/>
                  <w:shd w:val="clear" w:color="auto" w:fill="auto"/>
                </w:tcPr>
                <w:p w:rsidR="009E18F9" w:rsidRPr="009E18F9" w:rsidRDefault="009E18F9" w:rsidP="009E18F9">
                  <w:pPr>
                    <w:spacing w:after="0" w:line="240" w:lineRule="auto"/>
                    <w:jc w:val="center"/>
                    <w:rPr>
                      <w:rFonts w:ascii="Times New Roman" w:eastAsia="Calibri" w:hAnsi="Times New Roman" w:cs="Times New Roman"/>
                      <w:sz w:val="28"/>
                      <w:szCs w:val="26"/>
                    </w:rPr>
                  </w:pPr>
                  <w:r w:rsidRPr="009E18F9">
                    <w:rPr>
                      <w:rFonts w:ascii="Times New Roman" w:eastAsia="Calibri" w:hAnsi="Times New Roman" w:cs="Times New Roman"/>
                      <w:sz w:val="28"/>
                      <w:szCs w:val="26"/>
                    </w:rPr>
                    <w:t>BỘ TƯ PHÁP</w:t>
                  </w:r>
                </w:p>
                <w:p w:rsidR="009E18F9" w:rsidRPr="009E18F9" w:rsidRDefault="009E18F9" w:rsidP="009E18F9">
                  <w:pPr>
                    <w:spacing w:after="0" w:line="240" w:lineRule="auto"/>
                    <w:jc w:val="center"/>
                    <w:rPr>
                      <w:rFonts w:ascii="Times New Roman" w:eastAsia="Calibri" w:hAnsi="Times New Roman" w:cs="Times New Roman"/>
                      <w:sz w:val="28"/>
                      <w:szCs w:val="26"/>
                    </w:rPr>
                  </w:pPr>
                  <w:r w:rsidRPr="009E18F9">
                    <w:rPr>
                      <w:rFonts w:ascii="Times New Roman Bold" w:eastAsia="Calibri" w:hAnsi="Times New Roman Bold" w:cs="Times New Roman"/>
                      <w:b/>
                      <w:spacing w:val="-10"/>
                      <w:sz w:val="26"/>
                      <w:szCs w:val="26"/>
                    </w:rPr>
                    <w:t xml:space="preserve">    VỤ PHỔ BIẾN, GIÁO DỤC PHÁP LUẬ</w:t>
                  </w:r>
                  <w:r w:rsidRPr="009E18F9">
                    <w:rPr>
                      <w:rFonts w:ascii="Times New Roman Bold" w:eastAsia="Calibri" w:hAnsi="Times New Roman Bold" w:cs="Times New Roman"/>
                      <w:b/>
                      <w:spacing w:val="-6"/>
                      <w:sz w:val="26"/>
                      <w:szCs w:val="26"/>
                    </w:rPr>
                    <w:t>T</w:t>
                  </w:r>
                </w:p>
                <w:p w:rsidR="009E18F9" w:rsidRPr="009E18F9" w:rsidRDefault="009E18F9" w:rsidP="009E18F9">
                  <w:pPr>
                    <w:spacing w:after="0" w:line="240" w:lineRule="auto"/>
                    <w:jc w:val="center"/>
                    <w:rPr>
                      <w:rFonts w:ascii="Times New Roman" w:eastAsia="Calibri" w:hAnsi="Times New Roman" w:cs="Times New Roman"/>
                      <w:b/>
                      <w:spacing w:val="-6"/>
                      <w:sz w:val="12"/>
                      <w:szCs w:val="26"/>
                    </w:rPr>
                  </w:pPr>
                  <w:r w:rsidRPr="009E18F9">
                    <w:rPr>
                      <w:rFonts w:ascii="Times New Roman" w:eastAsia="Calibri" w:hAnsi="Times New Roman" w:cs="Times New Roman"/>
                      <w:b/>
                      <w:spacing w:val="-6"/>
                      <w:sz w:val="12"/>
                      <w:szCs w:val="26"/>
                    </w:rPr>
                    <w:t>__________________________</w:t>
                  </w:r>
                </w:p>
                <w:p w:rsidR="009E18F9" w:rsidRPr="009E18F9" w:rsidRDefault="009E18F9" w:rsidP="009E18F9">
                  <w:pPr>
                    <w:spacing w:after="0" w:line="240" w:lineRule="auto"/>
                    <w:contextualSpacing/>
                    <w:jc w:val="both"/>
                    <w:rPr>
                      <w:rFonts w:ascii="Times New Roman" w:eastAsia="Calibri" w:hAnsi="Times New Roman" w:cs="Times New Roman"/>
                      <w:b/>
                      <w:bCs/>
                      <w:sz w:val="26"/>
                      <w:szCs w:val="26"/>
                    </w:rPr>
                  </w:pPr>
                </w:p>
              </w:tc>
            </w:tr>
          </w:tbl>
          <w:p w:rsidR="009E18F9" w:rsidRPr="009E18F9" w:rsidRDefault="009E18F9" w:rsidP="009E18F9">
            <w:pPr>
              <w:spacing w:after="0" w:line="240" w:lineRule="auto"/>
              <w:contextualSpacing/>
              <w:jc w:val="both"/>
              <w:rPr>
                <w:rFonts w:ascii="Times New Roman" w:eastAsia="Calibri" w:hAnsi="Times New Roman" w:cs="Times New Roman"/>
                <w:bCs/>
                <w:sz w:val="26"/>
                <w:szCs w:val="26"/>
              </w:rPr>
            </w:pPr>
          </w:p>
        </w:tc>
        <w:tc>
          <w:tcPr>
            <w:tcW w:w="5837" w:type="dxa"/>
          </w:tcPr>
          <w:p w:rsidR="009E18F9" w:rsidRPr="009E18F9" w:rsidRDefault="009E18F9" w:rsidP="009E18F9">
            <w:pPr>
              <w:spacing w:after="0" w:line="240" w:lineRule="auto"/>
              <w:contextualSpacing/>
              <w:jc w:val="center"/>
              <w:rPr>
                <w:rFonts w:ascii="Times New Roman" w:eastAsia="Calibri" w:hAnsi="Times New Roman" w:cs="Times New Roman"/>
                <w:b/>
                <w:bCs/>
                <w:sz w:val="26"/>
                <w:szCs w:val="26"/>
              </w:rPr>
            </w:pPr>
          </w:p>
          <w:p w:rsidR="009E18F9" w:rsidRPr="009E18F9" w:rsidRDefault="009E18F9" w:rsidP="009E18F9">
            <w:pPr>
              <w:keepNext/>
              <w:spacing w:after="0" w:line="240" w:lineRule="auto"/>
              <w:ind w:firstLine="71"/>
              <w:contextualSpacing/>
              <w:jc w:val="center"/>
              <w:outlineLvl w:val="2"/>
              <w:rPr>
                <w:rFonts w:ascii="Times New Roman" w:eastAsia="Calibri" w:hAnsi="Times New Roman" w:cs="Times New Roman"/>
                <w:b/>
                <w:bCs/>
                <w:sz w:val="26"/>
                <w:szCs w:val="26"/>
              </w:rPr>
            </w:pPr>
          </w:p>
          <w:p w:rsidR="009E18F9" w:rsidRPr="009E18F9" w:rsidRDefault="009E18F9" w:rsidP="009E18F9">
            <w:pPr>
              <w:keepNext/>
              <w:spacing w:after="0" w:line="240" w:lineRule="auto"/>
              <w:ind w:firstLine="71"/>
              <w:contextualSpacing/>
              <w:jc w:val="center"/>
              <w:outlineLvl w:val="2"/>
              <w:rPr>
                <w:rFonts w:ascii="Times New Roman" w:eastAsia="Calibri" w:hAnsi="Times New Roman" w:cs="Times New Roman"/>
                <w:b/>
                <w:bCs/>
                <w:sz w:val="26"/>
                <w:szCs w:val="26"/>
              </w:rPr>
            </w:pPr>
          </w:p>
          <w:p w:rsidR="009E18F9" w:rsidRPr="009E18F9" w:rsidRDefault="009E18F9" w:rsidP="009E18F9">
            <w:pPr>
              <w:keepNext/>
              <w:spacing w:after="0" w:line="240" w:lineRule="auto"/>
              <w:ind w:firstLine="71"/>
              <w:contextualSpacing/>
              <w:jc w:val="center"/>
              <w:outlineLvl w:val="2"/>
              <w:rPr>
                <w:rFonts w:ascii="Calibri" w:eastAsia="Times New Roman" w:hAnsi="Calibri" w:cs="Times New Roman"/>
                <w:i/>
                <w:iCs/>
                <w:color w:val="1F4D78"/>
                <w:sz w:val="28"/>
                <w:szCs w:val="28"/>
              </w:rPr>
            </w:pPr>
          </w:p>
        </w:tc>
      </w:tr>
    </w:tbl>
    <w:p w:rsidR="009E18F9" w:rsidRPr="009E18F9" w:rsidRDefault="009E18F9" w:rsidP="009E18F9">
      <w:pPr>
        <w:widowControl w:val="0"/>
        <w:spacing w:after="0" w:line="240" w:lineRule="auto"/>
        <w:jc w:val="center"/>
        <w:outlineLvl w:val="0"/>
        <w:rPr>
          <w:rFonts w:ascii="Times New Roman" w:eastAsia="Calibri" w:hAnsi="Times New Roman" w:cs="Times New Roman"/>
          <w:b/>
          <w:sz w:val="28"/>
          <w:szCs w:val="28"/>
          <w:lang w:val="nl-NL"/>
        </w:rPr>
      </w:pPr>
      <w:r w:rsidRPr="009E18F9">
        <w:rPr>
          <w:rFonts w:ascii="Times New Roman" w:eastAsia="Calibri" w:hAnsi="Times New Roman" w:cs="Times New Roman"/>
          <w:b/>
          <w:sz w:val="28"/>
          <w:szCs w:val="28"/>
          <w:lang w:val="nl-NL"/>
        </w:rPr>
        <w:t xml:space="preserve">TÀI LIỆU GIỚI THIỆU LUẬT SỬA ĐỔI, BỔ SUNG </w:t>
      </w:r>
    </w:p>
    <w:p w:rsidR="009E18F9" w:rsidRPr="009E18F9" w:rsidRDefault="009E18F9" w:rsidP="009E18F9">
      <w:pPr>
        <w:widowControl w:val="0"/>
        <w:spacing w:after="0" w:line="240" w:lineRule="auto"/>
        <w:jc w:val="center"/>
        <w:outlineLvl w:val="0"/>
        <w:rPr>
          <w:rFonts w:ascii="Times New Roman" w:eastAsia="Calibri" w:hAnsi="Times New Roman" w:cs="Times New Roman"/>
          <w:b/>
          <w:sz w:val="28"/>
          <w:szCs w:val="28"/>
          <w:lang w:val="nl-NL"/>
        </w:rPr>
      </w:pPr>
      <w:r w:rsidRPr="009E18F9">
        <w:rPr>
          <w:rFonts w:ascii="Times New Roman" w:eastAsia="Calibri" w:hAnsi="Times New Roman" w:cs="Times New Roman"/>
          <w:b/>
          <w:sz w:val="28"/>
          <w:szCs w:val="28"/>
          <w:lang w:val="nl-NL"/>
        </w:rPr>
        <w:t>MỘT SỐ ĐIỀU CỦA LUẬT TỔ CHỨC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
          <w:sz w:val="28"/>
          <w:szCs w:val="28"/>
          <w:lang w:val="es-ES"/>
        </w:rPr>
      </w:pP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Cs/>
          <w:sz w:val="28"/>
          <w:szCs w:val="28"/>
        </w:rPr>
      </w:pPr>
      <w:r w:rsidRPr="009E18F9">
        <w:rPr>
          <w:rFonts w:ascii="Times New Roman" w:eastAsia="Calibri" w:hAnsi="Times New Roman" w:cs="Times New Roman"/>
          <w:sz w:val="28"/>
          <w:szCs w:val="28"/>
          <w:lang w:val="pt-BR"/>
        </w:rPr>
        <w:t xml:space="preserve">Ngày 19/6/2020, tại Kỳ họp thứ 9, </w:t>
      </w:r>
      <w:r w:rsidRPr="009E18F9">
        <w:rPr>
          <w:rFonts w:ascii="Times New Roman" w:eastAsia="Calibri" w:hAnsi="Times New Roman" w:cs="Times New Roman"/>
          <w:spacing w:val="-2"/>
          <w:sz w:val="28"/>
          <w:szCs w:val="28"/>
          <w:lang w:val="es-ES"/>
        </w:rPr>
        <w:t xml:space="preserve">Quốc hội khóa XIV đã </w:t>
      </w:r>
      <w:r w:rsidRPr="009E18F9">
        <w:rPr>
          <w:rFonts w:ascii="Times New Roman" w:eastAsia="Calibri" w:hAnsi="Times New Roman" w:cs="Times New Roman"/>
          <w:sz w:val="28"/>
          <w:szCs w:val="28"/>
          <w:lang w:val="pt-BR"/>
        </w:rPr>
        <w:t>thông qua Luật sửa đổi, bổ sung một số điều của Luật Tổ chức Quốc hội. Luật có hiệu lực thi hành từ ngày 01/01/2021.</w:t>
      </w:r>
      <w:r w:rsidRPr="009E18F9">
        <w:rPr>
          <w:rFonts w:ascii="Times New Roman" w:eastAsia="Calibri" w:hAnsi="Times New Roman" w:cs="Times New Roman"/>
          <w:bCs/>
          <w:sz w:val="28"/>
          <w:szCs w:val="28"/>
          <w:lang w:val="vi-VN"/>
        </w:rPr>
        <w:t xml:space="preserve"> </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I. SỰ CẦN THIẾT BAN HÀNH LUẬT SỬA ĐỔI, BỔ SUNG MỘT SỐ ĐIỀU CỦA LUẬT TỔ CHỨC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color w:val="000000"/>
          <w:sz w:val="28"/>
          <w:szCs w:val="28"/>
        </w:rPr>
      </w:pPr>
      <w:r w:rsidRPr="009E18F9">
        <w:rPr>
          <w:rFonts w:ascii="Times New Roman" w:eastAsia="Calibri" w:hAnsi="Times New Roman" w:cs="Times New Roman"/>
          <w:bCs/>
          <w:spacing w:val="-2"/>
          <w:sz w:val="28"/>
          <w:szCs w:val="28"/>
        </w:rPr>
        <w:t xml:space="preserve">Luật Tổ chức Quốc hội được Quốc hội khóa XIII thông qua tại kỳ họp thứ 8 đã tạo cơ sở pháp lý cho việc đổi mới tổ chức và hoạt động của Quốc hội, bảo đảm Quốc hội thực sự là cơ quan đại biểu cao nhất của Nhân dân, cơ quan quyền lực nhà nước cao nhất của nước ta. </w:t>
      </w:r>
      <w:r w:rsidRPr="009E18F9">
        <w:rPr>
          <w:rFonts w:ascii="Times New Roman" w:eastAsia="Calibri" w:hAnsi="Times New Roman" w:cs="Times New Roman"/>
          <w:color w:val="000000"/>
          <w:sz w:val="28"/>
          <w:szCs w:val="28"/>
        </w:rPr>
        <w:t xml:space="preserve">Sau hơn 03 năm thi hành, Luật Tổ chức Quốc hội đã mang lại những kết quả tích cực, góp phần nâng cao chất lượng, hiệu quả hoạt động của Quốc hội, các cơ quan của Quốc hội, đại biểu Quốc hội trên các lĩnh vực lập pháp, giám sát, quyết định những vấn đề quan trọng của đất nước. </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color w:val="000000"/>
          <w:sz w:val="28"/>
          <w:szCs w:val="28"/>
        </w:rPr>
      </w:pPr>
      <w:r w:rsidRPr="009E18F9">
        <w:rPr>
          <w:rFonts w:ascii="Times New Roman" w:eastAsia="Calibri" w:hAnsi="Times New Roman" w:cs="Times New Roman"/>
          <w:color w:val="000000"/>
          <w:sz w:val="28"/>
          <w:szCs w:val="28"/>
        </w:rPr>
        <w:t xml:space="preserve">Tuy nhiên, </w:t>
      </w:r>
      <w:r w:rsidRPr="009E18F9">
        <w:rPr>
          <w:rFonts w:ascii="Times New Roman" w:eastAsia="Calibri" w:hAnsi="Times New Roman" w:cs="Times New Roman"/>
          <w:sz w:val="28"/>
          <w:szCs w:val="28"/>
          <w:lang w:val="es-ES"/>
        </w:rPr>
        <w:t xml:space="preserve">trong quá trình triển khai thi hành Luật thời gian qua </w:t>
      </w:r>
      <w:r w:rsidRPr="009E18F9">
        <w:rPr>
          <w:rFonts w:ascii="Times New Roman" w:eastAsia="Calibri" w:hAnsi="Times New Roman" w:cs="Times New Roman"/>
          <w:color w:val="000000"/>
          <w:sz w:val="28"/>
          <w:szCs w:val="28"/>
        </w:rPr>
        <w:t xml:space="preserve">cũng đã bộc lộ những </w:t>
      </w:r>
      <w:r w:rsidRPr="009E18F9">
        <w:rPr>
          <w:rFonts w:ascii="Times New Roman" w:eastAsia="Calibri" w:hAnsi="Times New Roman" w:cs="Times New Roman"/>
          <w:sz w:val="28"/>
          <w:szCs w:val="28"/>
          <w:lang w:val="es-ES"/>
        </w:rPr>
        <w:t xml:space="preserve">vướng mắc, bất cập, như: </w:t>
      </w:r>
      <w:r w:rsidRPr="009E18F9">
        <w:rPr>
          <w:rFonts w:ascii="Times New Roman" w:eastAsia="Calibri" w:hAnsi="Times New Roman" w:cs="Times New Roman"/>
          <w:sz w:val="28"/>
          <w:szCs w:val="28"/>
          <w:lang w:val="it-IT"/>
        </w:rPr>
        <w:t xml:space="preserve">quy định tiêu chuẩn về quốc tịch đối với đại biểu Quốc hội còn chưa thật cụ thể; các nội dung liên quan đến công tác quản lý cán bộ đối với đại biểu Quốc hội </w:t>
      </w:r>
      <w:r w:rsidRPr="009E18F9">
        <w:rPr>
          <w:rFonts w:ascii="Times New Roman" w:eastAsia="Calibri" w:hAnsi="Times New Roman" w:cs="Times New Roman"/>
          <w:sz w:val="28"/>
          <w:szCs w:val="28"/>
          <w:lang w:val="es-ES"/>
        </w:rPr>
        <w:t xml:space="preserve">hiện được quy định rải rác ở nhiều văn bản khác nhau, chưa rõ trách nhiệm phân công, phối hợp giữa các cơ quan có thẩm quyền quản lý cán bộ ở trung ương và địa phương theo phạm vi phân cấp; </w:t>
      </w:r>
      <w:r w:rsidRPr="009E18F9">
        <w:rPr>
          <w:rFonts w:ascii="Times New Roman" w:eastAsia="Calibri" w:hAnsi="Times New Roman" w:cs="Times New Roman"/>
          <w:sz w:val="28"/>
          <w:szCs w:val="28"/>
          <w:lang w:val="it-IT"/>
        </w:rPr>
        <w:t xml:space="preserve">chưa có quy định về </w:t>
      </w:r>
      <w:r w:rsidRPr="009E18F9">
        <w:rPr>
          <w:rFonts w:ascii="Times New Roman" w:eastAsia="Calibri" w:hAnsi="Times New Roman" w:cs="Times New Roman"/>
          <w:sz w:val="28"/>
          <w:szCs w:val="28"/>
        </w:rPr>
        <w:t xml:space="preserve">phê chuẩn </w:t>
      </w:r>
      <w:r w:rsidRPr="009E18F9">
        <w:rPr>
          <w:rFonts w:ascii="Times New Roman" w:eastAsia="Calibri" w:hAnsi="Times New Roman" w:cs="Times New Roman"/>
          <w:sz w:val="28"/>
          <w:szCs w:val="28"/>
          <w:lang w:val="it-IT"/>
        </w:rPr>
        <w:t xml:space="preserve">việc </w:t>
      </w:r>
      <w:r w:rsidRPr="009E18F9">
        <w:rPr>
          <w:rFonts w:ascii="Times New Roman" w:eastAsia="Calibri" w:hAnsi="Times New Roman" w:cs="Times New Roman"/>
          <w:sz w:val="28"/>
          <w:szCs w:val="28"/>
        </w:rPr>
        <w:t xml:space="preserve">cho thôi </w:t>
      </w:r>
      <w:r w:rsidRPr="009E18F9">
        <w:rPr>
          <w:rFonts w:ascii="Times New Roman" w:eastAsia="Calibri" w:hAnsi="Times New Roman" w:cs="Times New Roman"/>
          <w:sz w:val="28"/>
          <w:szCs w:val="28"/>
          <w:lang w:val="it-IT"/>
        </w:rPr>
        <w:t>giữ chức vụ</w:t>
      </w:r>
      <w:r w:rsidRPr="009E18F9">
        <w:rPr>
          <w:rFonts w:ascii="Times New Roman" w:eastAsia="Calibri" w:hAnsi="Times New Roman" w:cs="Times New Roman"/>
          <w:sz w:val="28"/>
          <w:szCs w:val="28"/>
        </w:rPr>
        <w:t xml:space="preserve"> Trưởng đoàn, Phó Trưởng đoàn đại biểu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color w:val="000000"/>
          <w:sz w:val="28"/>
          <w:szCs w:val="28"/>
        </w:rPr>
        <w:t xml:space="preserve">Trước </w:t>
      </w:r>
      <w:r w:rsidRPr="009E18F9">
        <w:rPr>
          <w:rFonts w:ascii="Times New Roman" w:eastAsia="Calibri" w:hAnsi="Times New Roman" w:cs="Times New Roman"/>
          <w:sz w:val="28"/>
          <w:szCs w:val="28"/>
          <w:lang w:val="vi-VN"/>
        </w:rPr>
        <w:t xml:space="preserve">yêu cầu </w:t>
      </w:r>
      <w:r w:rsidRPr="009E18F9">
        <w:rPr>
          <w:rFonts w:ascii="Times New Roman" w:eastAsia="Calibri" w:hAnsi="Times New Roman" w:cs="Times New Roman"/>
          <w:sz w:val="28"/>
          <w:szCs w:val="28"/>
        </w:rPr>
        <w:t xml:space="preserve">cụ thể </w:t>
      </w:r>
      <w:r w:rsidRPr="009E18F9">
        <w:rPr>
          <w:rFonts w:ascii="Times New Roman" w:eastAsia="Calibri" w:hAnsi="Times New Roman" w:cs="Times New Roman"/>
          <w:sz w:val="28"/>
          <w:szCs w:val="28"/>
          <w:lang w:val="vi-VN"/>
        </w:rPr>
        <w:t xml:space="preserve">hóa </w:t>
      </w:r>
      <w:r w:rsidRPr="009E18F9">
        <w:rPr>
          <w:rFonts w:ascii="Times New Roman" w:eastAsia="Calibri" w:hAnsi="Times New Roman" w:cs="Times New Roman"/>
          <w:bCs/>
          <w:sz w:val="28"/>
          <w:szCs w:val="28"/>
          <w:lang w:val="es-ES"/>
        </w:rPr>
        <w:t xml:space="preserve">Nghị quyết số 18-NQ/TW </w:t>
      </w:r>
      <w:r w:rsidRPr="009E18F9">
        <w:rPr>
          <w:rFonts w:ascii="Times New Roman" w:eastAsia="Calibri" w:hAnsi="Times New Roman" w:cs="Times New Roman"/>
          <w:sz w:val="28"/>
          <w:szCs w:val="28"/>
          <w:lang w:val="pt-BR"/>
        </w:rPr>
        <w:t xml:space="preserve">ngày 25/10/2017 </w:t>
      </w:r>
      <w:r w:rsidRPr="009E18F9">
        <w:rPr>
          <w:rFonts w:ascii="Times New Roman" w:eastAsia="Calibri" w:hAnsi="Times New Roman" w:cs="Times New Roman"/>
          <w:sz w:val="28"/>
          <w:szCs w:val="28"/>
        </w:rPr>
        <w:t xml:space="preserve">của Hội nghị Trung ương 6 (khóa XII) </w:t>
      </w:r>
      <w:r w:rsidRPr="009E18F9">
        <w:rPr>
          <w:rFonts w:ascii="Times New Roman" w:eastAsia="Calibri" w:hAnsi="Times New Roman" w:cs="Times New Roman"/>
          <w:sz w:val="28"/>
          <w:szCs w:val="28"/>
          <w:lang w:val="pt-BR"/>
        </w:rPr>
        <w:t xml:space="preserve">về một số vấn đề về tiếp tục đổi mới, sắp xếp tổ chức bộ máy của hệ thống chính trị tinh gọn, hoạt động hiệu lực, hiệu quả (sau đây gọi là Nghị </w:t>
      </w:r>
      <w:r w:rsidRPr="009E18F9">
        <w:rPr>
          <w:rFonts w:ascii="Times New Roman" w:eastAsia="Calibri" w:hAnsi="Times New Roman" w:cs="Times New Roman"/>
          <w:bCs/>
          <w:sz w:val="28"/>
          <w:szCs w:val="28"/>
          <w:lang w:val="es-ES"/>
        </w:rPr>
        <w:t>quyết số 18-NQ/TW)</w:t>
      </w:r>
      <w:r w:rsidRPr="009E18F9">
        <w:rPr>
          <w:rFonts w:ascii="Times New Roman" w:eastAsia="Calibri" w:hAnsi="Times New Roman" w:cs="Times New Roman"/>
          <w:sz w:val="28"/>
          <w:szCs w:val="28"/>
          <w:lang w:val="pt-BR"/>
        </w:rPr>
        <w:t xml:space="preserve">, </w:t>
      </w:r>
      <w:r w:rsidRPr="009E18F9">
        <w:rPr>
          <w:rFonts w:ascii="Times New Roman" w:eastAsia="Calibri" w:hAnsi="Times New Roman" w:cs="Times New Roman"/>
          <w:sz w:val="28"/>
          <w:szCs w:val="28"/>
          <w:lang w:val="es-ES"/>
        </w:rPr>
        <w:t xml:space="preserve">Nghị quyết số 56/2017/QH14 ngày 24/11/2017 của Quốc hội về việc tiếp tục cải cách tổ chức bộ máy hành chính nhà nước tinh gọn, hoạt động hiệu lực, hiệu quả và Kế hoạch số 735-KH/ĐĐQH14 ngày 18/01/2018 của Đảng đoàn Quốc hội đã đề ra yêu cầu, </w:t>
      </w:r>
      <w:r w:rsidRPr="009E18F9">
        <w:rPr>
          <w:rFonts w:ascii="Times New Roman" w:eastAsia="Calibri" w:hAnsi="Times New Roman" w:cs="Times New Roman"/>
          <w:sz w:val="28"/>
          <w:szCs w:val="28"/>
          <w:lang w:val="es-ES"/>
        </w:rPr>
        <w:lastRenderedPageBreak/>
        <w:t>nhiệm vụ phải sửa đổi, bổ sung các luật về tổ chức bộ máy nhà nước, trong đó có Luật Tổ chức Quốc hội để nâng cao hiệu lực, hiệu quả hoạt động của Quốc hội</w:t>
      </w:r>
      <w:r w:rsidRPr="009E18F9">
        <w:rPr>
          <w:rFonts w:ascii="Times New Roman" w:eastAsia="Calibri" w:hAnsi="Times New Roman" w:cs="Times New Roman"/>
          <w:sz w:val="28"/>
          <w:szCs w:val="28"/>
        </w:rPr>
        <w:t xml:space="preserve">. </w:t>
      </w:r>
      <w:r w:rsidRPr="009E18F9">
        <w:rPr>
          <w:rFonts w:ascii="Times New Roman" w:eastAsia="Calibri" w:hAnsi="Times New Roman" w:cs="Times New Roman"/>
          <w:sz w:val="28"/>
          <w:szCs w:val="28"/>
          <w:lang w:val="es-ES"/>
        </w:rPr>
        <w:t>Vì vậy, để thể chế hóa các chủ trương, chính sách của Đảng và Nhà nước, khắc phục các hạn chế, bất cập trong việc thi hành Luật Tổ chức Quốc hội năm 2014, việc sửa đổi, bổ sung một số điều của Luật Tổ chức Quốc hội là cần thiết.</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II. MỤC ĐÍCH, QUAN ĐIỂM SỬA ĐỔI, BỔ SUNG LUẬT TỔ CHỨC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Việc xây dựng Luật sửa đổi, bổ sung một số điều của Luật Tổ chức Quốc hội trên cơ sở quán triệt các mục đích và quan điểm cơ bản sau đây:</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i/>
          <w:sz w:val="28"/>
          <w:szCs w:val="28"/>
          <w:lang w:val="es-ES"/>
        </w:rPr>
        <w:t>Thứ nhất</w:t>
      </w:r>
      <w:r w:rsidRPr="009E18F9">
        <w:rPr>
          <w:rFonts w:ascii="Times New Roman" w:eastAsia="Calibri" w:hAnsi="Times New Roman" w:cs="Times New Roman"/>
          <w:sz w:val="28"/>
          <w:szCs w:val="28"/>
          <w:lang w:val="es-ES"/>
        </w:rPr>
        <w:t>, thể chế hóa chủ trương của Đảng tại Nghị quyết số 18-NQ/TW và Kế hoạch số 07-KH/TW</w:t>
      </w:r>
      <w:bookmarkStart w:id="0" w:name="_GoBack"/>
      <w:bookmarkEnd w:id="0"/>
      <w:r w:rsidRPr="009E18F9">
        <w:rPr>
          <w:rFonts w:ascii="Times New Roman" w:eastAsia="Calibri" w:hAnsi="Times New Roman" w:cs="Times New Roman"/>
          <w:sz w:val="28"/>
          <w:szCs w:val="28"/>
          <w:lang w:val="es-ES"/>
        </w:rPr>
        <w:t>, Nghị quyết số 56/2017/QH14 ngày 24/11/2017 của Quốc hội nhằm tinh gọn bộ máy, nâng cao hiệu lực, hiệu quả trong tổ chức và hoạt động của Quốc hội, các cơ quan của Quốc hội, đại biểu Quốc hội và Đoàn đại biểu Quốc hội.</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i/>
          <w:sz w:val="28"/>
          <w:szCs w:val="28"/>
          <w:lang w:val="es-ES"/>
        </w:rPr>
        <w:t>Thứ hai</w:t>
      </w:r>
      <w:r w:rsidRPr="009E18F9">
        <w:rPr>
          <w:rFonts w:ascii="Times New Roman" w:eastAsia="Calibri" w:hAnsi="Times New Roman" w:cs="Times New Roman"/>
          <w:sz w:val="28"/>
          <w:szCs w:val="28"/>
          <w:lang w:val="es-ES"/>
        </w:rPr>
        <w:t>, hoàn thiện các quy định về hoạt động của Quốc hội, các cơ quan của Quốc hội theo hướng chỉ quy định mang tính khái quát về nhiệm vụ, quyền hạn của các cơ quan này; còn những nhiệm vụ, quyền hạn cụ thể thì do các luật về từng lĩnh vực quy định, tránh việc một nội dung mà có nhiều văn bản cùng điều chỉnh.</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i/>
          <w:sz w:val="28"/>
          <w:szCs w:val="28"/>
          <w:lang w:val="es-ES"/>
        </w:rPr>
        <w:t>Thứ ba</w:t>
      </w:r>
      <w:r w:rsidRPr="009E18F9">
        <w:rPr>
          <w:rFonts w:ascii="Times New Roman" w:eastAsia="Calibri" w:hAnsi="Times New Roman" w:cs="Times New Roman"/>
          <w:sz w:val="28"/>
          <w:szCs w:val="28"/>
          <w:lang w:val="es-ES"/>
        </w:rPr>
        <w:t>, chỉ xem xét sửa đổi, bổ sung những vấn đề đã có chỉ đạo rõ, những vấn đề đã chín muồi, có nhu cầu cấp thiết trong thực tế nhằm cụ thể hóa các chỉ đạo, kết luận của Trung ương và xử lý việc thiếu thống nhất trong một số quy định giữa các luật, đồng thời đã có sự đồng thuận, thống nhất cao. Đối với những vấn đề còn ý kiến khác nhau hoặc chưa đánh giá hết được tác động khi thực thi thì tiếp tục nghiên cứu, tổng kết để sửa đổi, bổ sung vào thời gian thích hợp.</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III. PHẠM VI SỬA ĐỔI, BỔ SUNG LUẬT TỔ CHỨC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Cs/>
          <w:sz w:val="28"/>
          <w:szCs w:val="28"/>
        </w:rPr>
      </w:pPr>
      <w:r w:rsidRPr="009E18F9">
        <w:rPr>
          <w:rFonts w:ascii="Times New Roman" w:eastAsia="Calibri" w:hAnsi="Times New Roman" w:cs="Times New Roman"/>
          <w:sz w:val="28"/>
          <w:szCs w:val="28"/>
          <w:lang w:val="es-ES"/>
        </w:rPr>
        <w:t xml:space="preserve">Nghị quyết số 18-NQ/TW đã đề ra các nhiệm vụ cụ thể là: (1) Tăng tỷ lệ đại biểu Quốc hội hoạt động chuyên trách, giảm hợp lý số lượng đại biểu Quốc hội kiêm nhiệm công tác ở các cơ quan hành pháp; (2) Quy định số lượng với tỷ lệ hợp lý giữa lãnh đạo, Ủy viên Thường trực, Ủy viên Chuyên trách của Hội đồng Dân tộc, Ủy ban của Quốc hội theo hướng giảm số lượng cấp phó và Ủy viên Thường trực; (3) Sắp xếp, cơ cấu lại tổ chức bên trong của Văn phòng </w:t>
      </w:r>
      <w:r w:rsidRPr="009E18F9">
        <w:rPr>
          <w:rFonts w:ascii="Times New Roman" w:eastAsia="Calibri" w:hAnsi="Times New Roman" w:cs="Times New Roman"/>
          <w:sz w:val="28"/>
          <w:szCs w:val="28"/>
          <w:lang w:val="es-ES"/>
        </w:rPr>
        <w:lastRenderedPageBreak/>
        <w:t>Quốc hội theo hướng tinh gọn, hoạt động hiệu quả; (4) Nghiên cứu thực hiện hợp nhất Văn phòng Đoàn đại biểu Quốc hội, Văn phòng Hội đồng nhân dân và Văn phòng Ủy ban nhân dân thành một văn phòng tham mưu giúp việc chung.</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Trong những chủ trương về tổ chức và hoạt động của Quốc hội đã được nêu tại Nghị quyết số 18-NQ/TW, có nội dung có thể quy định ngay trong luật, nhưng cũng có những nội dung nên được xác định, cụ thể hóa thông qua các văn bản của Ủy ban Thường vụ Quốc hội hoặc trong đề án cụ thể gắn với từng nhiệm kỳ Quốc hội. Hơn nữa, những vấn đề đã đưa vào dự thảo nhưng trong quá trình thảo luận, cho ý kiến còn nhiều ý kiến khác nhau hoặc chưa đánh giá hết được tác động khi thực thi thì cũng cần được tiếp tục nghiên cứu, tổng kết để sửa đổi, bổ sung Luật vào thời gian thích hợp. Vì vậy, tại lần sửa đổi này, Quốc hội chỉ tập trung sửa đổi, bổ sung một số nội dung đã có sự đồng thuận, thống nhất cao trong phạm vi quy định của Hiến pháp để có thể thực hiện được ngay, bảo đảm tính ổn định của Luật và của công tác cán bộ, tổ chức bộ máy nhà nước.</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Với tinh thần đó, phạm vi sửa đổi, bổ sung tập trung vào các nội dung về tiêu chuẩn của đại biểu Quốc hội, tỷ lệ đại biểu Quốc hội hoạt động chuyên trách, kinh phí hoạt động và bộ máy giúp việc của Đoàn đại biểu Quốc hội, một số quy định liên quan đến việc thực hiện nhiệm vụ, quyền hạn của Ủy ban Thường vụ Quốc hội, tên gọi, cơ cấu và trách nhiệm của Hội đồng Dân tộc, các Ủy ban. Các nội dung sửa đổi, bổ sung này được bố cục trong 02 Điều: Điều 1 sửa đổi, bổ sung 20 Điều của Luật Tổ chức Quốc hội và Điều 2: Hiệu lực thi hành.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IV. CÁC NỘI DUNG SỬA ĐỔI, BỔ SUNG CỤ THỂ</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1. Về đại biểu Quốc hội</w:t>
      </w:r>
    </w:p>
    <w:p w:rsidR="009E18F9" w:rsidRPr="009E18F9" w:rsidRDefault="009E18F9" w:rsidP="009E18F9">
      <w:pPr>
        <w:tabs>
          <w:tab w:val="left" w:pos="567"/>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Luật sửa đổi, bổ sung một số điều của Luật Tổ chức Quốc hội cơ bản giữ nguyên các quy định về vị trí, vai trò và nhiệm vụ của đại biểu Quốc hội như Luật Tổ chức Quốc hội hiện hành. Theo đó, đại biểu Quốc hội là người đại diện cho ý chí, nguyện vọng của Nhân dân ở đơn vị bầu cử ra mình và của Nhân dân cả nước; là người thay mặt Nhân dân thực hiện quyền lực nhà nước trong Quốc hội. Để tiếp tục khẳng định và làm rõ hơn các nội dung liên quan đến đại biểu Quốc hội, Luật đã sửa đổi, bổ sung một số quy định cụ thể như sau: </w:t>
      </w:r>
    </w:p>
    <w:p w:rsidR="009E18F9" w:rsidRPr="009E18F9" w:rsidRDefault="009E18F9" w:rsidP="009E18F9">
      <w:pPr>
        <w:tabs>
          <w:tab w:val="left" w:pos="1918"/>
        </w:tabs>
        <w:spacing w:before="60" w:after="60" w:line="312" w:lineRule="auto"/>
        <w:ind w:left="737" w:right="57"/>
        <w:contextualSpacing/>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 xml:space="preserve">a) Về tiêu chuẩn của đại biểu Quốc hội: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it-IT"/>
        </w:rPr>
      </w:pPr>
      <w:r w:rsidRPr="009E18F9">
        <w:rPr>
          <w:rFonts w:ascii="Times New Roman" w:eastAsia="Calibri" w:hAnsi="Times New Roman" w:cs="Times New Roman"/>
          <w:sz w:val="28"/>
          <w:szCs w:val="28"/>
          <w:lang w:val="it-IT"/>
        </w:rPr>
        <w:lastRenderedPageBreak/>
        <w:t xml:space="preserve">Luật Tổ chức Quốc hội hiện hành quy định tiêu chuẩn về quốc tịch đối với đại biểu Quốc hội còn chưa thật cụ thể nên qua công tác bầu cử và xác nhận tư cách đại biểu Quốc hội nhiệm kỳ khóa XIV cho thấy, đã có trường hợp người ứng cử có đồng thời quốc tịch Việt Nam và quốc tịch 01 nước khác.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it-IT"/>
        </w:rPr>
        <w:t xml:space="preserve">Vì vậy, để bảo đảm tính chặt chẽ, </w:t>
      </w:r>
      <w:r w:rsidRPr="009E18F9">
        <w:rPr>
          <w:rFonts w:ascii="Times New Roman" w:eastAsia="Calibri" w:hAnsi="Times New Roman" w:cs="Times New Roman"/>
          <w:bCs/>
          <w:sz w:val="28"/>
          <w:szCs w:val="28"/>
          <w:lang w:val="es-ES_tradnl"/>
        </w:rPr>
        <w:t>đáp ứng yêu cầu thực tiễn</w:t>
      </w:r>
      <w:r w:rsidRPr="009E18F9">
        <w:rPr>
          <w:rFonts w:ascii="Times New Roman" w:eastAsia="Calibri" w:hAnsi="Times New Roman" w:cs="Times New Roman"/>
          <w:sz w:val="28"/>
          <w:szCs w:val="28"/>
          <w:lang w:val="it-IT"/>
        </w:rPr>
        <w:t xml:space="preserve">, </w:t>
      </w:r>
      <w:r w:rsidRPr="009E18F9">
        <w:rPr>
          <w:rFonts w:ascii="Times New Roman" w:eastAsia="Calibri" w:hAnsi="Times New Roman" w:cs="Times New Roman"/>
          <w:bCs/>
          <w:iCs/>
          <w:spacing w:val="2"/>
          <w:sz w:val="28"/>
          <w:szCs w:val="28"/>
          <w:lang w:val="it-IT"/>
        </w:rPr>
        <w:t>tránh xảy ra vi phạm trong quá trình bầu cử đại biểu Quốc hội như nhiệm kỳ Quốc hội khóa XIV,</w:t>
      </w:r>
      <w:r w:rsidRPr="009E18F9">
        <w:rPr>
          <w:rFonts w:ascii="Times New Roman" w:eastAsia="Calibri" w:hAnsi="Times New Roman" w:cs="Times New Roman"/>
          <w:sz w:val="28"/>
          <w:szCs w:val="28"/>
          <w:lang w:val="it-IT"/>
        </w:rPr>
        <w:t xml:space="preserve"> Luật </w:t>
      </w:r>
      <w:r w:rsidRPr="009E18F9">
        <w:rPr>
          <w:rFonts w:ascii="Times New Roman" w:eastAsia="Calibri" w:hAnsi="Times New Roman" w:cs="Times New Roman"/>
          <w:sz w:val="28"/>
          <w:szCs w:val="28"/>
          <w:lang w:val="es-ES"/>
        </w:rPr>
        <w:t xml:space="preserve">đã bổ sung một khoản quy định về tiêu chuẩn quốc tịch đối với đại biểu Quốc hội. Theo đó, ngoài những tiêu chuẩn chung bao gồm: (1) Trung thành với Tổ quốc, Nhân dân và Hiến pháp, phấn đấu thực hiện công cuộc đổi mới, vì mục tiêu dân giàu, nước mạnh, dân chủ, công bằng, văn Minh; (2)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 (3) Có trình độ văn hóa, chuyên môn, có đủ năng lực, sức khỏe, kinh nghiệm công tác và uy tín để thực hiện nhiệm vụ đại biểu Quốc hội; (4) Liên hệ chặt chẽ với Nhân dân, lắng nghe ý kiến của Nhân dân, được Nhân dân tín nhiệm; (5) Có điều kiện tham gia các hoạt động của Quốc hội, đại biểu Quốc hội còn phải đáp ứng tiêu chuẩn về quốc tịch, đó là </w:t>
      </w:r>
      <w:r w:rsidRPr="009E18F9">
        <w:rPr>
          <w:rFonts w:ascii="Times New Roman" w:eastAsia="Calibri" w:hAnsi="Times New Roman" w:cs="Times New Roman"/>
          <w:i/>
          <w:sz w:val="28"/>
          <w:szCs w:val="28"/>
          <w:lang w:val="es-ES"/>
        </w:rPr>
        <w:t xml:space="preserve">có một quốc tịch là quốc tịch Việt Nam </w:t>
      </w:r>
      <w:r w:rsidRPr="009E18F9">
        <w:rPr>
          <w:rFonts w:ascii="Times New Roman" w:eastAsia="Calibri" w:hAnsi="Times New Roman" w:cs="Times New Roman"/>
          <w:sz w:val="28"/>
          <w:szCs w:val="28"/>
          <w:lang w:val="es-ES"/>
        </w:rPr>
        <w:t xml:space="preserve">(khoản 1a Điều 22).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 xml:space="preserve">b) Về tỷ lệ đại biểu Quốc hội hoạt động chuyên trách: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Thực hiện chủ trương của Đảng </w:t>
      </w:r>
      <w:r w:rsidRPr="009E18F9">
        <w:rPr>
          <w:rFonts w:ascii="Times New Roman" w:eastAsia="Calibri" w:hAnsi="Times New Roman" w:cs="Times New Roman"/>
          <w:bCs/>
          <w:sz w:val="28"/>
          <w:szCs w:val="28"/>
          <w:lang w:val="es-ES"/>
        </w:rPr>
        <w:t>về</w:t>
      </w:r>
      <w:r w:rsidRPr="009E18F9">
        <w:rPr>
          <w:rFonts w:ascii="Times New Roman" w:eastAsia="Calibri" w:hAnsi="Times New Roman" w:cs="Times New Roman"/>
          <w:sz w:val="28"/>
          <w:szCs w:val="28"/>
          <w:lang w:val="es-ES"/>
        </w:rPr>
        <w:t xml:space="preserve"> tăng tỷ lệ đại biểu Quốc hội hoạt động chuyên trách tại Nghị quyết số </w:t>
      </w:r>
      <w:r w:rsidRPr="009E18F9">
        <w:rPr>
          <w:rFonts w:ascii="Times New Roman" w:eastAsia="Calibri" w:hAnsi="Times New Roman" w:cs="Times New Roman"/>
          <w:bCs/>
          <w:sz w:val="28"/>
          <w:szCs w:val="28"/>
          <w:lang w:val="es-ES"/>
        </w:rPr>
        <w:t>18-NQ/TW</w:t>
      </w:r>
      <w:r w:rsidRPr="009E18F9">
        <w:rPr>
          <w:rFonts w:ascii="Times New Roman" w:eastAsia="Calibri" w:hAnsi="Times New Roman" w:cs="Times New Roman"/>
          <w:sz w:val="28"/>
          <w:szCs w:val="28"/>
          <w:lang w:val="es-ES"/>
        </w:rPr>
        <w:t xml:space="preserve">, Luật sửa đổi, bổ sung một số điều của Luật Tổ chức Quốc hội đã tăng tỷ lệ đại biểu Quốc hội hoạt động chuyên trách </w:t>
      </w:r>
      <w:r w:rsidRPr="009E18F9">
        <w:rPr>
          <w:rFonts w:ascii="Times New Roman" w:eastAsia="Calibri" w:hAnsi="Times New Roman" w:cs="Times New Roman"/>
          <w:b/>
          <w:i/>
          <w:sz w:val="28"/>
          <w:szCs w:val="28"/>
          <w:lang w:val="es-ES"/>
        </w:rPr>
        <w:t>ít nhất là 40% tổng số đại biểu Quốc hội</w:t>
      </w:r>
      <w:r w:rsidRPr="009E18F9">
        <w:rPr>
          <w:rFonts w:ascii="Times New Roman" w:eastAsia="Calibri" w:hAnsi="Times New Roman" w:cs="Times New Roman"/>
          <w:sz w:val="28"/>
          <w:szCs w:val="28"/>
          <w:lang w:val="es-ES"/>
        </w:rPr>
        <w:t xml:space="preserve"> (khoản 2 Điều 23). Quy định này sẽ </w:t>
      </w:r>
      <w:r w:rsidRPr="009E18F9">
        <w:rPr>
          <w:rFonts w:ascii="Times New Roman" w:eastAsia="Calibri" w:hAnsi="Times New Roman" w:cs="Times New Roman"/>
          <w:spacing w:val="4"/>
          <w:sz w:val="28"/>
          <w:szCs w:val="28"/>
          <w:lang w:val="it-IT"/>
        </w:rPr>
        <w:t xml:space="preserve">tạo </w:t>
      </w:r>
      <w:r w:rsidRPr="009E18F9">
        <w:rPr>
          <w:rFonts w:ascii="Times New Roman" w:eastAsia="Times New Roman" w:hAnsi="Times New Roman" w:cs="Times New Roman"/>
          <w:spacing w:val="4"/>
          <w:sz w:val="28"/>
          <w:szCs w:val="28"/>
          <w:lang w:val="it-IT"/>
        </w:rPr>
        <w:t>cơ sở pháp lý cho công tác</w:t>
      </w:r>
      <w:r w:rsidRPr="009E18F9">
        <w:rPr>
          <w:rFonts w:ascii="Times New Roman" w:eastAsia="Calibri" w:hAnsi="Times New Roman" w:cs="Times New Roman"/>
          <w:bCs/>
          <w:iCs/>
          <w:spacing w:val="4"/>
          <w:sz w:val="28"/>
          <w:szCs w:val="28"/>
          <w:lang w:val="it-IT"/>
        </w:rPr>
        <w:t xml:space="preserve"> quy hoạch, chuẩn bị nguồn nhân sự để giới thiệu tham gia ứng cử làm đại biểu Quốc hội hoạt động chuyên trách từ Quốc hội khóa XV sắp tới, từ đó tăng cường tính chuyên nghiệp, góp phần quan trọng cho việc nâng cao hiệu lực, hiệu quả hoạt động của Quốc hội</w:t>
      </w:r>
      <w:r w:rsidRPr="009E18F9">
        <w:rPr>
          <w:rFonts w:ascii="Times New Roman" w:eastAsia="Calibri" w:hAnsi="Times New Roman" w:cs="Times New Roman"/>
          <w:sz w:val="28"/>
          <w:szCs w:val="28"/>
          <w:lang w:val="es-ES"/>
        </w:rPr>
        <w:t xml:space="preserve">. Trong quá trình Quốc hội thảo luận, cũng có ý kiến đề nghị giữ quy định về tỷ lệ đại biểu Quốc hội hoạt động chuyên trách ít nhất là 35% tổng số đại biểu Quốc hội như Luật Tổ chức Quốc hội hiện hành để bảo đảm tính linh hoạt, phù hợp với khả năng sắp xếp bố trí nhân sự và tình hình thực tiễn hiện nay. Tuy nhiên, sau khi thảo luận, cân nhắc kỹ, Quốc hội đã quyết định nâng tỷ lệ đại biểu Quốc hội hoạt động chuyên trách lên ít nhất là 40% tổng số đại biểu Quốc </w:t>
      </w:r>
      <w:r w:rsidRPr="009E18F9">
        <w:rPr>
          <w:rFonts w:ascii="Times New Roman" w:eastAsia="Calibri" w:hAnsi="Times New Roman" w:cs="Times New Roman"/>
          <w:sz w:val="28"/>
          <w:szCs w:val="28"/>
          <w:lang w:val="es-ES"/>
        </w:rPr>
        <w:lastRenderedPageBreak/>
        <w:t>hội nhằm thể hiện quyết tâm cao trong việc nâng cao chất lượng hoạt động của Quốc hội nói chung và đại biểu Quốc hội chuyên trách nói riêng. Đ</w:t>
      </w:r>
      <w:r w:rsidRPr="009E18F9">
        <w:rPr>
          <w:rFonts w:ascii="Times New Roman" w:eastAsia="Calibri" w:hAnsi="Times New Roman" w:cs="Times New Roman"/>
          <w:bCs/>
          <w:iCs/>
          <w:sz w:val="28"/>
          <w:szCs w:val="28"/>
          <w:lang w:val="it-IT"/>
        </w:rPr>
        <w:t>ể bảo đảm tính khả thi của quy định này, trong thời gian tới, Đề án bầu cử đại biểu Quốc hội khóa XV sẽ cụ thể hóa các nội dung liên quan cũng như xem xét việc bố trí hợp lý số lượng đại biểu Quốc hội hoạt động chuyên trách ở từng địa phương.</w:t>
      </w:r>
      <w:r w:rsidRPr="009E18F9">
        <w:rPr>
          <w:rFonts w:ascii="Times New Roman" w:eastAsia="Calibri" w:hAnsi="Times New Roman" w:cs="Times New Roman"/>
          <w:bCs/>
          <w:iCs/>
          <w:spacing w:val="4"/>
          <w:sz w:val="28"/>
          <w:szCs w:val="28"/>
          <w:lang w:val="it-IT"/>
        </w:rPr>
        <w:t xml:space="preserve">  </w:t>
      </w:r>
      <w:r w:rsidRPr="009E18F9">
        <w:rPr>
          <w:rFonts w:ascii="Times New Roman" w:eastAsia="Calibri" w:hAnsi="Times New Roman" w:cs="Times New Roman"/>
          <w:sz w:val="28"/>
          <w:szCs w:val="28"/>
          <w:lang w:val="es-ES"/>
        </w:rPr>
        <w:t xml:space="preserve">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c) Về công tác quản lý cán bộ đối với đại biểu Quốc hội hoạt động chuyên trách:</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Hiện nay, việc phân cấp quản lý cán bộ đối với đại biểu Quốc hội hoạt động chuyên trách ở địa phương đang được thực hiện theo Quy định số 105-QĐ/TW ngày 19/12/2017 của Bộ Chính trị và Nghị quyết số 353/2017/UBTVQH14 của Ủy ban Thường vụ Quốc hội. Tuy nhiên, công tác quản lý cán bộ đối với đại biểu Quốc hội hoạt động chuyên trách ở địa phương bao gồm nhiều nội dung và có nhiều điểm đặc thù, đòi hỏi có sự phân công, phối hợp chặt chẽ giữa các cơ quan có thẩm quyền quản lý cán bộ ở trung ương và địa phương, đặc biệt là trong việc đánh giá hoạt động, thi đua, khen thưởng, điều động, luân chuyển... đối với đại biểu Quốc hội.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Vì vậy, Luật sửa đổi, bổ sung Luật Tổ chức Quốc hội đã bổ sung quy định về thẩm quyền, trách nhiệm của cơ quan có thẩm quyền quản lý cán bộ ở tỉnh, thành phố trực thuộc Trung ương trong việc quản lý công tác cán bộ đối với đại biểu Quốc hội hoạt động chuyên trách của địa phương mình (khoản 3a Điều 43); đồng thời giao Ủy ban Thường vụ Quốc hội quy định về việc thực hiện công tác cán bộ đối với đại biểu Quốc hội hoạt động chuyên trách, việc thực hiện nhiệm vụ đại biểu, chế độ, chính sách và các điều kiện bảo đảm khác đối với đại biểu Quốc hội và đại biểu Quốc hội hoạt động chuyên trách (khoản 1 Điều 54). Theo đó, những nội dung liên quan đến đại biểu Quốc hội như quản lý biên chế, nội dung, tiêu chí, cách thức đánh giá hoạt động của đại biểu Quốc hội, việc tiếp xúc cử tri, việc chuyển công tác, chuyển sinh hoạt đến Đoàn đại biểu Quốc hội khác, việc thực hiện nhiệm vụ đại biểu, cho thôi làm nhiệm vụ đại biểu, thi đua, khen thưởng... sẽ được Ủy ban Thường vụ Quốc hội quy định, hướng dẫn để phù hợp với phạm vi phân cấp, gắn với trách nhiệm của chính quyền địa phương và tình hình thực tế trong từng giai đoạn.</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Bên cạnh đó, kế thừa quy định của Luật Tổ chức Quốc hội hiện hành, Luật tiếp tục quy định về trách nhiệm của đại biểu Quốc hội hoạt động chuyên </w:t>
      </w:r>
      <w:r w:rsidRPr="009E18F9">
        <w:rPr>
          <w:rFonts w:ascii="Times New Roman" w:eastAsia="Calibri" w:hAnsi="Times New Roman" w:cs="Times New Roman"/>
          <w:sz w:val="28"/>
          <w:szCs w:val="28"/>
          <w:lang w:val="es-ES"/>
        </w:rPr>
        <w:lastRenderedPageBreak/>
        <w:t xml:space="preserve">trách phải tham gia hội nghị đại biểu Quốc hội hoạt động chuyên trách và các hội nghị khác do Ủy ban Thường vụ Quốc hội triệu tập (khoản 3 Điều 26); bổ sung quy định đại biểu Quốc hội hoạt động không chuyên trách có quyền đăng ký tham dự hội nghị đại biểu Quốc hội hoạt động chuyên trách để thảo luận về những nội dung mà đại biểu quan tâm. Việc quy định như vậy nhằm tạo điều kiện cho đại biểu Quốc hội kiêm nhiệm cũng có thể tham dự hoặc được cung cấp thông tin về các hội nghị do Ủy ban Thường vụ Quốc hội triệu tập, từ đó nâng cao chất lượng các nội dung được thảo luận, cho ý kiến tại hội trường của mỗi kỳ họp Quốc hội.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2. Về Đoàn đại biểu Quốc hội</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Từ khi được ghi nhận trong Luật Tổ chức Quốc hội năm 1960 đến nay, Đoàn đại biểu Quốc hội đã phát huy vai trò tổ chức, hỗ trợ, tạo điều kiện cho các đại biểu Quốc hội thực hiện nhiệm vụ đại biểu tại địa phương, đồng thời giúp duy trì mối quan hệ gắn kết giữa Quốc hội với địa phương, là nơi tập hợp kiến nghị, phản ánh tâm tư, nguyện vọng của cả chính quyền và cử tri địa phương đến với Quốc hội.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Vì vậy, Luật sửa đổi, bổ sung một số điều của Luật Tổ chức Quốc hội tiếp tục giữ quy định về địa vị pháp lý của Đoàn đại biểu Quốc hội là tổ chức của các đại biểu Quốc hội được bầu tại một tỉnh, thành phố trực thuộc Trung ương hoặc được chuyển đến công tác tại tỉnh, thành phố trực thuộc Trung ương như Luật hiện hành và tập trung sửa đổi, bổ sung các quy định sau đây: </w:t>
      </w:r>
    </w:p>
    <w:p w:rsidR="009E18F9" w:rsidRPr="009E18F9" w:rsidRDefault="009E18F9" w:rsidP="009E18F9">
      <w:pPr>
        <w:spacing w:before="60" w:after="60" w:line="312" w:lineRule="auto"/>
        <w:ind w:left="57" w:right="57" w:firstLine="680"/>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a)</w:t>
      </w:r>
      <w:r w:rsidRPr="009E18F9">
        <w:rPr>
          <w:rFonts w:ascii="Times New Roman" w:eastAsia="Calibri" w:hAnsi="Times New Roman" w:cs="Times New Roman"/>
          <w:b/>
          <w:sz w:val="28"/>
          <w:szCs w:val="28"/>
          <w:lang w:val="es-ES"/>
        </w:rPr>
        <w:t xml:space="preserve"> </w:t>
      </w:r>
      <w:r w:rsidRPr="009E18F9">
        <w:rPr>
          <w:rFonts w:ascii="Times New Roman" w:eastAsia="Calibri" w:hAnsi="Times New Roman" w:cs="Times New Roman"/>
          <w:b/>
          <w:i/>
          <w:sz w:val="28"/>
          <w:szCs w:val="28"/>
          <w:lang w:val="es-ES"/>
        </w:rPr>
        <w:t>Về kinh phí hoạt động của Đoàn:</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i/>
          <w:spacing w:val="-2"/>
          <w:sz w:val="28"/>
          <w:szCs w:val="28"/>
          <w:lang w:val="it-IT"/>
        </w:rPr>
      </w:pPr>
      <w:r w:rsidRPr="009E18F9">
        <w:rPr>
          <w:rFonts w:ascii="Times New Roman" w:eastAsia="Calibri" w:hAnsi="Times New Roman" w:cs="Times New Roman"/>
          <w:sz w:val="28"/>
          <w:szCs w:val="28"/>
          <w:lang w:val="es-ES"/>
        </w:rPr>
        <w:t xml:space="preserve">Luật Tổ chức Quốc hội hiện hành quy định kinh phí hoạt động của các Đoàn đại biểu Quốc hội là một khoản trong ngân sách nhà nước do Quốc hội quyết định. Trong quá trình thực hiện thí điểm hợp nhất Văn phòng Đoàn </w:t>
      </w:r>
      <w:r w:rsidRPr="009E18F9">
        <w:rPr>
          <w:rFonts w:ascii="Times New Roman" w:eastAsia="Calibri" w:hAnsi="Times New Roman" w:cs="Times New Roman"/>
          <w:spacing w:val="-2"/>
          <w:sz w:val="28"/>
          <w:szCs w:val="28"/>
          <w:lang w:val="de-DE"/>
        </w:rPr>
        <w:t>đại biểu Quốc hội, Văn phòng Hội đồng nhân dân và Văn phòng Ủy ban nhân dân cấp tỉnh</w:t>
      </w:r>
      <w:r w:rsidRPr="009E18F9">
        <w:rPr>
          <w:rFonts w:ascii="Times New Roman" w:eastAsia="Calibri" w:hAnsi="Times New Roman" w:cs="Times New Roman"/>
          <w:sz w:val="28"/>
          <w:szCs w:val="28"/>
          <w:lang w:val="es-ES"/>
        </w:rPr>
        <w:t xml:space="preserve"> theo yêu cầu của</w:t>
      </w:r>
      <w:r w:rsidRPr="009E18F9">
        <w:rPr>
          <w:rFonts w:ascii="Times New Roman" w:eastAsia="Calibri" w:hAnsi="Times New Roman" w:cs="Times New Roman"/>
          <w:sz w:val="28"/>
          <w:szCs w:val="28"/>
        </w:rPr>
        <w:t xml:space="preserve"> Nghị quyết </w:t>
      </w:r>
      <w:r w:rsidRPr="009E18F9">
        <w:rPr>
          <w:rFonts w:ascii="Times New Roman" w:eastAsia="Calibri" w:hAnsi="Times New Roman" w:cs="Times New Roman"/>
          <w:spacing w:val="-2"/>
          <w:sz w:val="28"/>
          <w:szCs w:val="28"/>
          <w:lang w:val="de-DE"/>
        </w:rPr>
        <w:t>số 580/2018/UBTVQH14 của Ủy ban Thường vụ Quốc hội, kinh phí hoạt động của Đoàn đại biểu Quốc hội tại 12 địa phương thực hiện thí điểm</w:t>
      </w:r>
      <w:r w:rsidRPr="009E18F9">
        <w:rPr>
          <w:rFonts w:ascii="Times New Roman" w:eastAsia="Calibri" w:hAnsi="Times New Roman" w:cs="Times New Roman"/>
          <w:spacing w:val="-2"/>
          <w:sz w:val="28"/>
          <w:szCs w:val="28"/>
          <w:vertAlign w:val="superscript"/>
          <w:lang w:val="de-DE"/>
        </w:rPr>
        <w:footnoteReference w:id="1"/>
      </w:r>
      <w:r w:rsidRPr="009E18F9">
        <w:rPr>
          <w:rFonts w:ascii="Times New Roman" w:eastAsia="Calibri" w:hAnsi="Times New Roman" w:cs="Times New Roman"/>
          <w:spacing w:val="-2"/>
          <w:sz w:val="28"/>
          <w:szCs w:val="28"/>
          <w:lang w:val="de-DE"/>
        </w:rPr>
        <w:t xml:space="preserve"> được quy định do ngân sách địa phương bảo đảm theo phân bổ dự toán do Hội đồng nhân dân cấp tỉnh quyết định. Quy định này đã làm phát sinh nhiều khó khăn, vướng mắc trong thực tiễn hoạt động của Đoàn. Vì vậy, đ</w:t>
      </w:r>
      <w:r w:rsidRPr="009E18F9">
        <w:rPr>
          <w:rFonts w:ascii="Times New Roman" w:eastAsia="Calibri" w:hAnsi="Times New Roman" w:cs="Times New Roman"/>
          <w:sz w:val="28"/>
          <w:szCs w:val="28"/>
          <w:lang w:val="es-ES"/>
        </w:rPr>
        <w:t xml:space="preserve">ể bảo đảm cho Đoàn đại biểu Quốc hội, đại biểu Quốc hội chủ </w:t>
      </w:r>
      <w:r w:rsidRPr="009E18F9">
        <w:rPr>
          <w:rFonts w:ascii="Times New Roman" w:eastAsia="Calibri" w:hAnsi="Times New Roman" w:cs="Times New Roman"/>
          <w:sz w:val="28"/>
          <w:szCs w:val="28"/>
          <w:lang w:val="es-ES"/>
        </w:rPr>
        <w:lastRenderedPageBreak/>
        <w:t xml:space="preserve">động trong kế hoạch hoạt động, Luật đã quy định nội dung về kinh phí bảo đảm cho hoạt động của Đoàn đại biểu Quốc hội và đại biểu Quốc hội do ngân sách trung ương bảo đảm. Theo đó, tại khoản 1 Điều 101 của Luật Tổ chức Quốc hội được sửa đổi như sau: </w:t>
      </w:r>
      <w:r w:rsidRPr="009E18F9">
        <w:rPr>
          <w:rFonts w:ascii="Times New Roman" w:eastAsia="Times New Roman" w:hAnsi="Times New Roman" w:cs="Times New Roman"/>
          <w:i/>
          <w:sz w:val="28"/>
          <w:szCs w:val="28"/>
          <w:u w:color="000000"/>
          <w:lang w:val="it-IT"/>
        </w:rPr>
        <w:t xml:space="preserve">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Tổng Thư ký Quốc hội, Văn phòng Quốc hội, cơ quan thuộc Ủy ban thường vụ Quốc hội, kinh phí hoạt động của Đoàn đại biểu Quốc hội, lương của đại biểu Quốc hội hoạt động chuyên trách, </w:t>
      </w:r>
      <w:r w:rsidRPr="009E18F9">
        <w:rPr>
          <w:rFonts w:ascii="Times New Roman" w:eastAsia="Calibri" w:hAnsi="Times New Roman" w:cs="Times New Roman"/>
          <w:i/>
          <w:spacing w:val="-2"/>
          <w:sz w:val="28"/>
          <w:szCs w:val="28"/>
          <w:lang w:val="it-IT"/>
        </w:rPr>
        <w:t>hoạt động phí, thù lao tham gia hoạt động Quốc hội, các khoản phụ cấp và các chế độ của đại biểu Quốc hội gắn với hoạt động của Quốc hội.</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Đối với kinh phí bảo đảm hoạt động của bộ máy tham mưu, giúp việc Đoàn đại biểu Quốc hội, trên cơ sở tổng kết việc thực hiện thí điểm Nghị quyết số 580/2018/UBTVQH14, Văn phòng Đoàn đại biểu Quốc hội sẽ được hợp nhất với cơ quan khác và thuộc quyền quản lý của địa phương. Vì vậy, Luật quy định kinh phí hoạt động của bộ máy giúp việc Đoàn đại biểu Quốc hội do ngân sách địa phương bảo đảm để phù hợp với thực tiễn bố trí, sử dụng, tránh việc có nhiều chế độ, nhiều nguồn kinh phí trong một cơ quan, khó cho công tác quản lý, kiểm soát chung.</w:t>
      </w:r>
    </w:p>
    <w:p w:rsidR="009E18F9" w:rsidRPr="009E18F9" w:rsidRDefault="009E18F9" w:rsidP="009E18F9">
      <w:pPr>
        <w:spacing w:before="60" w:after="60" w:line="312" w:lineRule="auto"/>
        <w:ind w:left="57" w:right="57" w:firstLine="680"/>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 xml:space="preserve">b) Về bộ máy giúp việc của Đoàn: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pacing w:val="-2"/>
          <w:sz w:val="28"/>
          <w:szCs w:val="28"/>
          <w:lang w:val="de-DE"/>
        </w:rPr>
      </w:pPr>
      <w:r w:rsidRPr="009E18F9">
        <w:rPr>
          <w:rFonts w:ascii="Times New Roman" w:eastAsia="Calibri" w:hAnsi="Times New Roman" w:cs="Times New Roman"/>
          <w:sz w:val="28"/>
          <w:szCs w:val="28"/>
        </w:rPr>
        <w:t xml:space="preserve">Theo quy định của Luật Tổ chức Quốc hội hiện hành thì Văn phòng Đoàn đại biểu Quốc hội là cơ quan tham mưu, giúp việc, phục vụ hoạt động của Đoàn đại biểu Quốc hội tại địa phương. Để thực hiện Nghị quyết số         18-NQ/TW của Hội nghị Trung ương 6 (khóa XII) và Nghị quyết số 56/2017/QH14 của Quốc hội, ngày 04/10/2018, Ủy ban Thường vụ Quốc hội đã ban hành Nghị quyết </w:t>
      </w:r>
      <w:r w:rsidRPr="009E18F9">
        <w:rPr>
          <w:rFonts w:ascii="Times New Roman" w:eastAsia="Calibri" w:hAnsi="Times New Roman" w:cs="Times New Roman"/>
          <w:spacing w:val="-2"/>
          <w:sz w:val="28"/>
          <w:szCs w:val="28"/>
          <w:lang w:val="de-DE"/>
        </w:rPr>
        <w:t xml:space="preserve">số 580/2018/UBTVQH14 thí điểm hợp nhất Văn phòng Đoàn đại biểu Quốc hội, Văn phòng Hội đồng nhân dân và Văn phòng Ủy ban nhân dân cấp tỉnh. Tuy nhiên, </w:t>
      </w:r>
      <w:r w:rsidRPr="009E18F9">
        <w:rPr>
          <w:rFonts w:ascii="Times New Roman" w:eastAsia="Calibri" w:hAnsi="Times New Roman" w:cs="Times New Roman"/>
          <w:sz w:val="28"/>
          <w:szCs w:val="28"/>
          <w:lang w:val="de-DE"/>
        </w:rPr>
        <w:t xml:space="preserve">theo Báo cáo tổng kết số 232/BC-CP ngày 18/5/2020 của Chính phủ </w:t>
      </w:r>
      <w:r w:rsidRPr="009E18F9">
        <w:rPr>
          <w:rFonts w:ascii="Times New Roman" w:eastAsia="Calibri" w:hAnsi="Times New Roman" w:cs="Times New Roman"/>
          <w:spacing w:val="-2"/>
          <w:sz w:val="28"/>
          <w:szCs w:val="28"/>
          <w:lang w:val="de-DE"/>
        </w:rPr>
        <w:t xml:space="preserve">sau hơn một năm thực hiện thí điểm cho thấy, việc tổ chức một Văn phòng giúp việc chung cho 03 cơ quan theo mô hình thí điểm quy định tại Nghị quyết số 580/2018/UBTVQH14 chưa thực sự đáp ứng được mục tiêu đề ra là nâng cao chất lượng, hiệu lực, hiệu quả hoạt động của bộ máy tham mưu, giúp việc cho Đoàn đại biểu Quốc hội, Hội đồng nhân dân và Ủy ban nhân dân cấp tỉnh, chưa rõ được vai trò tham mưu trong hoạt động giám sát và quản </w:t>
      </w:r>
      <w:r w:rsidRPr="009E18F9">
        <w:rPr>
          <w:rFonts w:ascii="Times New Roman" w:eastAsia="Calibri" w:hAnsi="Times New Roman" w:cs="Times New Roman"/>
          <w:spacing w:val="-2"/>
          <w:sz w:val="28"/>
          <w:szCs w:val="28"/>
          <w:lang w:val="de-DE"/>
        </w:rPr>
        <w:lastRenderedPageBreak/>
        <w:t xml:space="preserve">lý, điều hành giữa cơ quan đại diện với cơ quan quản lý. Vì vậy, trên cơ sở kết quả thực hiện thí điểm và theo đề nghị của Chính phủ, Luật sửa đổi, bổ sung một số điều của Luật Tổ chức Quốc hội đã quy định: </w:t>
      </w:r>
      <w:r w:rsidRPr="009E18F9">
        <w:rPr>
          <w:rFonts w:ascii="Times New Roman" w:eastAsia="Calibri" w:hAnsi="Times New Roman" w:cs="Times New Roman"/>
          <w:sz w:val="28"/>
          <w:szCs w:val="28"/>
        </w:rPr>
        <w:t xml:space="preserve">Văn phòng Đoàn đại biểu Quốc hội và Hội đồng nhân dân cấp tỉnh là cơ quan tham mưu, giúp việc, phục vụ hoạt động của các đại biểu Quốc hội và Đoàn đại biểu Quốc hội tại địa phương. Đồng thời, Quốc hội quyết định </w:t>
      </w:r>
      <w:r w:rsidRPr="009E18F9">
        <w:rPr>
          <w:rFonts w:ascii="Times New Roman" w:eastAsia="Calibri" w:hAnsi="Times New Roman" w:cs="Times New Roman"/>
          <w:spacing w:val="-2"/>
          <w:sz w:val="28"/>
          <w:szCs w:val="28"/>
          <w:lang w:val="de-DE"/>
        </w:rPr>
        <w:t>chấm dứt việc thực hiện thí điểm hợp nhất 03 Văn phòng theo Nghị quyết số 580/2018/UBTVQH14 của Ủy ban Thường vụ Quốc hội và quyết định sẽ tổ chức Văn phòng tham mưu, giúp việc, phục vụ chung cho Đoàn đại biểu Quốc hội và Hội đồng nhân dân cấp tỉnh, Văn phòng tham mưu, giúp việc, phục vụ riêng cho Ủy ban nhân dân cấp tỉnh.</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pacing w:val="-2"/>
          <w:sz w:val="28"/>
          <w:szCs w:val="28"/>
          <w:lang w:val="de-DE"/>
        </w:rPr>
        <w:t xml:space="preserve">Để bảo đảm cơ cở pháp lý cho việc triển khai thực hiện, </w:t>
      </w:r>
      <w:r w:rsidRPr="009E18F9">
        <w:rPr>
          <w:rFonts w:ascii="Times New Roman" w:eastAsia="Calibri" w:hAnsi="Times New Roman" w:cs="Times New Roman"/>
          <w:sz w:val="28"/>
          <w:szCs w:val="28"/>
        </w:rPr>
        <w:t xml:space="preserve">Luật đã bổ sung quy định chuyển tiếp để xác định lộ trình hoàn thành việc thành lập Văn phòng Đoàn </w:t>
      </w:r>
      <w:r w:rsidRPr="009E18F9">
        <w:rPr>
          <w:rFonts w:ascii="Times New Roman" w:eastAsia="Calibri" w:hAnsi="Times New Roman" w:cs="Times New Roman"/>
          <w:sz w:val="28"/>
          <w:szCs w:val="28"/>
          <w:lang w:val="de-DE"/>
        </w:rPr>
        <w:t>đại biểu Quốc hội</w:t>
      </w:r>
      <w:r w:rsidRPr="009E18F9">
        <w:rPr>
          <w:rFonts w:ascii="Times New Roman" w:eastAsia="Calibri" w:hAnsi="Times New Roman" w:cs="Times New Roman"/>
          <w:sz w:val="28"/>
          <w:szCs w:val="28"/>
        </w:rPr>
        <w:t xml:space="preserve"> và </w:t>
      </w:r>
      <w:r w:rsidRPr="009E18F9">
        <w:rPr>
          <w:rFonts w:ascii="Times New Roman" w:eastAsia="Calibri" w:hAnsi="Times New Roman" w:cs="Times New Roman"/>
          <w:sz w:val="28"/>
          <w:szCs w:val="28"/>
          <w:lang w:val="de-DE"/>
        </w:rPr>
        <w:t xml:space="preserve">Hội đồng nhân dân </w:t>
      </w:r>
      <w:r w:rsidRPr="009E18F9">
        <w:rPr>
          <w:rFonts w:ascii="Times New Roman" w:eastAsia="Calibri" w:hAnsi="Times New Roman" w:cs="Times New Roman"/>
          <w:sz w:val="28"/>
          <w:szCs w:val="28"/>
        </w:rPr>
        <w:t>cấp tỉnh. Theo đó, Văn phòng Đoàn đại biểu Quốc hội được thành lập theo Nghị quyết số 1097/2015/UBTVQH13 ngày 22/12/2015 của Ủy ban Thường vụ Quốc hội, Văn phòng Đoàn đại biểu Quốc hội, Hội đồng nhân dân và Ủy ban nhân dân tại các tỉnh, thành phố trực thuộc Trung ương thực hiện thí điểm theo Nghị quyết số 580/2018/UBTVQH14 tiếp tục hoạt động cho đến khi</w:t>
      </w:r>
      <w:r w:rsidRPr="009E18F9">
        <w:rPr>
          <w:rFonts w:ascii="Times New Roman" w:eastAsia="Calibri" w:hAnsi="Times New Roman" w:cs="Times New Roman"/>
          <w:b/>
          <w:sz w:val="28"/>
          <w:szCs w:val="28"/>
        </w:rPr>
        <w:t xml:space="preserve"> </w:t>
      </w:r>
      <w:r w:rsidRPr="009E18F9">
        <w:rPr>
          <w:rFonts w:ascii="Times New Roman" w:eastAsia="Calibri" w:hAnsi="Times New Roman" w:cs="Times New Roman"/>
          <w:sz w:val="28"/>
          <w:szCs w:val="28"/>
        </w:rPr>
        <w:t>Văn phòng Đoàn đại biểu Quốc hội và Hội đồng nhân dân cấp tỉnh được thành lập để tham mưu, giúp việc, phục vụ chung hoạt động của Đoàn đại biểu Quốc hội và Hội đồng nhân dân theo quy định của Ủy ban Thường vụ Quốc hội. Việc thành lập Văn phòng Đoàn đại biểu Quốc hội và Hội đồng nhân dân cấp tỉnh phải hoàn thành trước ngày 01/7/2021.</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3. Về Ủy ban Thường vụ Quốc hội</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pacing w:val="-4"/>
          <w:sz w:val="28"/>
          <w:szCs w:val="28"/>
          <w:lang w:val="es-ES"/>
        </w:rPr>
      </w:pPr>
      <w:r w:rsidRPr="009E18F9">
        <w:rPr>
          <w:rFonts w:ascii="Times New Roman" w:eastAsia="Calibri" w:hAnsi="Times New Roman" w:cs="Times New Roman"/>
          <w:spacing w:val="-4"/>
          <w:sz w:val="28"/>
          <w:szCs w:val="28"/>
          <w:lang w:val="es-ES"/>
        </w:rPr>
        <w:t>So với quy định của Luật Tổ chức Quốc hội hiện hành, Luật sửa đổi, bổ sung một số điều của Luật Tổ chức Quốc hội đã bổ sung một số quy định sau đây:</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b/>
          <w:i/>
          <w:spacing w:val="-4"/>
          <w:sz w:val="28"/>
          <w:szCs w:val="28"/>
          <w:lang w:val="es-ES"/>
        </w:rPr>
      </w:pPr>
      <w:r w:rsidRPr="009E18F9">
        <w:rPr>
          <w:rFonts w:ascii="Times New Roman" w:eastAsia="Calibri" w:hAnsi="Times New Roman" w:cs="Times New Roman"/>
          <w:b/>
          <w:i/>
          <w:spacing w:val="-4"/>
          <w:sz w:val="28"/>
          <w:szCs w:val="28"/>
          <w:lang w:val="es-ES"/>
        </w:rPr>
        <w:t xml:space="preserve">a) Về nguyên tắc hoạt động và chế độ báo cáo của Ủy ban Thường vụ Quốc hội: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pacing w:val="-4"/>
          <w:sz w:val="28"/>
          <w:szCs w:val="28"/>
          <w:lang w:val="es-ES"/>
        </w:rPr>
        <w:t>Luật đã bổ sung quy định về nguyên tắc hoạt động và chế độ báo cáo của Ủy ban Thường vụ Quốc hội</w:t>
      </w:r>
      <w:r w:rsidRPr="009E18F9">
        <w:rPr>
          <w:rFonts w:ascii="Times New Roman" w:eastAsia="Calibri" w:hAnsi="Times New Roman" w:cs="Times New Roman"/>
          <w:spacing w:val="-2"/>
          <w:sz w:val="28"/>
          <w:szCs w:val="28"/>
        </w:rPr>
        <w:t xml:space="preserve"> để bảo đảm tương thích với các quy định về nguyên tắc hoạt động và chế độ báo cáo của Quốc hội, các cơ quan Quốc hội</w:t>
      </w:r>
      <w:r w:rsidRPr="009E18F9">
        <w:rPr>
          <w:rFonts w:ascii="Times New Roman" w:eastAsia="Calibri" w:hAnsi="Times New Roman" w:cs="Times New Roman"/>
          <w:spacing w:val="-4"/>
          <w:sz w:val="28"/>
          <w:szCs w:val="28"/>
          <w:lang w:val="es-ES"/>
        </w:rPr>
        <w:t xml:space="preserve">. Theo đó, </w:t>
      </w:r>
      <w:r w:rsidRPr="009E18F9">
        <w:rPr>
          <w:rFonts w:ascii="Times New Roman" w:eastAsia="Calibri" w:hAnsi="Times New Roman" w:cs="Times New Roman"/>
          <w:sz w:val="28"/>
          <w:szCs w:val="28"/>
        </w:rPr>
        <w:t xml:space="preserve">Ủy ban Thường vụ Quốc hội làm việc theo chế độ tập thể và quyết định theo đa số. </w:t>
      </w:r>
      <w:r w:rsidRPr="009E18F9">
        <w:rPr>
          <w:rFonts w:ascii="Times New Roman" w:eastAsia="Calibri" w:hAnsi="Times New Roman" w:cs="Times New Roman"/>
          <w:bCs/>
          <w:iCs/>
          <w:sz w:val="28"/>
          <w:szCs w:val="28"/>
          <w:lang w:val="it-IT"/>
        </w:rPr>
        <w:t xml:space="preserve">Pháp lệnh, nghị quyết của Ủy ban Thường vụ Quốc hội được thông qua khi </w:t>
      </w:r>
      <w:r w:rsidRPr="009E18F9">
        <w:rPr>
          <w:rFonts w:ascii="Times New Roman" w:eastAsia="Calibri" w:hAnsi="Times New Roman" w:cs="Times New Roman"/>
          <w:bCs/>
          <w:iCs/>
          <w:sz w:val="28"/>
          <w:szCs w:val="28"/>
          <w:lang w:val="it-IT"/>
        </w:rPr>
        <w:lastRenderedPageBreak/>
        <w:t>có quá nửa tổng số thành viên Ủy ban Thường vụ Quốc hội biểu quyết tán thành.</w:t>
      </w:r>
      <w:bookmarkStart w:id="1" w:name="_Toc377041243"/>
      <w:r w:rsidRPr="009E18F9">
        <w:rPr>
          <w:rFonts w:ascii="Times New Roman" w:eastAsia="Calibri" w:hAnsi="Times New Roman" w:cs="Times New Roman"/>
          <w:bCs/>
          <w:iCs/>
          <w:sz w:val="28"/>
          <w:szCs w:val="28"/>
          <w:lang w:val="it-IT"/>
        </w:rPr>
        <w:t xml:space="preserve"> </w:t>
      </w:r>
      <w:r w:rsidRPr="009E18F9">
        <w:rPr>
          <w:rFonts w:ascii="Times New Roman" w:eastAsia="Calibri" w:hAnsi="Times New Roman" w:cs="Times New Roman"/>
          <w:spacing w:val="-2"/>
          <w:sz w:val="28"/>
          <w:szCs w:val="28"/>
          <w:lang w:val="vi-VN"/>
        </w:rPr>
        <w:t xml:space="preserve">Tại kỳ họp cuối năm của Quốc hội, </w:t>
      </w:r>
      <w:r w:rsidRPr="009E18F9">
        <w:rPr>
          <w:rFonts w:ascii="Times New Roman" w:eastAsia="Calibri" w:hAnsi="Times New Roman" w:cs="Times New Roman"/>
          <w:spacing w:val="-2"/>
          <w:sz w:val="28"/>
          <w:szCs w:val="28"/>
        </w:rPr>
        <w:t xml:space="preserve">Ủy ban Thường vụ </w:t>
      </w:r>
      <w:r w:rsidRPr="009E18F9">
        <w:rPr>
          <w:rFonts w:ascii="Times New Roman" w:eastAsia="Calibri" w:hAnsi="Times New Roman" w:cs="Times New Roman"/>
          <w:spacing w:val="-2"/>
          <w:sz w:val="28"/>
          <w:szCs w:val="28"/>
          <w:lang w:val="vi-VN"/>
        </w:rPr>
        <w:t>Quốc hội gửi báo cáo công tác</w:t>
      </w:r>
      <w:r w:rsidRPr="009E18F9">
        <w:rPr>
          <w:rFonts w:ascii="Times New Roman" w:eastAsia="Calibri" w:hAnsi="Times New Roman" w:cs="Times New Roman"/>
          <w:spacing w:val="-2"/>
          <w:sz w:val="28"/>
          <w:szCs w:val="28"/>
        </w:rPr>
        <w:t xml:space="preserve"> </w:t>
      </w:r>
      <w:r w:rsidRPr="009E18F9">
        <w:rPr>
          <w:rFonts w:ascii="Times New Roman" w:eastAsia="Calibri" w:hAnsi="Times New Roman" w:cs="Times New Roman"/>
          <w:spacing w:val="-2"/>
          <w:sz w:val="28"/>
          <w:szCs w:val="28"/>
          <w:lang w:val="vi-VN"/>
        </w:rPr>
        <w:t>của mình đến đại biểu Quốc hội. Tại kỳ họp cuối</w:t>
      </w:r>
      <w:r w:rsidRPr="009E18F9">
        <w:rPr>
          <w:rFonts w:ascii="Times New Roman" w:eastAsia="Calibri" w:hAnsi="Times New Roman" w:cs="Times New Roman"/>
          <w:spacing w:val="-2"/>
          <w:sz w:val="28"/>
          <w:szCs w:val="28"/>
        </w:rPr>
        <w:t xml:space="preserve"> năm</w:t>
      </w:r>
      <w:r w:rsidRPr="009E18F9">
        <w:rPr>
          <w:rFonts w:ascii="Times New Roman" w:eastAsia="Calibri" w:hAnsi="Times New Roman" w:cs="Times New Roman"/>
          <w:spacing w:val="-2"/>
          <w:sz w:val="28"/>
          <w:szCs w:val="28"/>
          <w:lang w:val="vi-VN"/>
        </w:rPr>
        <w:t xml:space="preserve"> của Quốc hội, Ủy ban </w:t>
      </w:r>
      <w:r w:rsidRPr="009E18F9">
        <w:rPr>
          <w:rFonts w:ascii="Times New Roman" w:eastAsia="Calibri" w:hAnsi="Times New Roman" w:cs="Times New Roman"/>
          <w:spacing w:val="-2"/>
          <w:sz w:val="28"/>
          <w:szCs w:val="28"/>
        </w:rPr>
        <w:t>T</w:t>
      </w:r>
      <w:r w:rsidRPr="009E18F9">
        <w:rPr>
          <w:rFonts w:ascii="Times New Roman" w:eastAsia="Calibri" w:hAnsi="Times New Roman" w:cs="Times New Roman"/>
          <w:spacing w:val="-2"/>
          <w:sz w:val="28"/>
          <w:szCs w:val="28"/>
          <w:lang w:val="vi-VN"/>
        </w:rPr>
        <w:t xml:space="preserve">hường vụ Quốc hội </w:t>
      </w:r>
      <w:r w:rsidRPr="009E18F9">
        <w:rPr>
          <w:rFonts w:ascii="Times New Roman" w:eastAsia="Calibri" w:hAnsi="Times New Roman" w:cs="Times New Roman"/>
          <w:spacing w:val="-2"/>
          <w:sz w:val="28"/>
          <w:szCs w:val="28"/>
        </w:rPr>
        <w:t xml:space="preserve">trình </w:t>
      </w:r>
      <w:r w:rsidRPr="009E18F9">
        <w:rPr>
          <w:rFonts w:ascii="Times New Roman" w:eastAsia="Calibri" w:hAnsi="Times New Roman" w:cs="Times New Roman"/>
          <w:spacing w:val="-2"/>
          <w:sz w:val="28"/>
          <w:szCs w:val="28"/>
          <w:lang w:val="vi-VN"/>
        </w:rPr>
        <w:t xml:space="preserve">báo cáo </w:t>
      </w:r>
      <w:r w:rsidRPr="009E18F9">
        <w:rPr>
          <w:rFonts w:ascii="Times New Roman" w:eastAsia="Calibri" w:hAnsi="Times New Roman" w:cs="Times New Roman"/>
          <w:spacing w:val="-2"/>
          <w:sz w:val="28"/>
          <w:szCs w:val="28"/>
        </w:rPr>
        <w:t>công tác nhiệm kỳ để Quốc hội xem xét, thảo luận</w:t>
      </w:r>
      <w:bookmarkEnd w:id="1"/>
      <w:r w:rsidRPr="009E18F9">
        <w:rPr>
          <w:rFonts w:ascii="Times New Roman" w:eastAsia="Calibri" w:hAnsi="Times New Roman" w:cs="Times New Roman"/>
          <w:spacing w:val="-2"/>
          <w:sz w:val="28"/>
          <w:szCs w:val="28"/>
          <w:lang w:val="vi-VN"/>
        </w:rPr>
        <w:t xml:space="preserve"> (khoản 4, 5 </w:t>
      </w:r>
      <w:r w:rsidRPr="009E18F9">
        <w:rPr>
          <w:rFonts w:ascii="Times New Roman" w:eastAsia="Calibri" w:hAnsi="Times New Roman" w:cs="Times New Roman"/>
          <w:spacing w:val="-2"/>
          <w:sz w:val="28"/>
          <w:szCs w:val="28"/>
        </w:rPr>
        <w:t xml:space="preserve">Điều 44). </w:t>
      </w:r>
      <w:r w:rsidRPr="009E18F9">
        <w:rPr>
          <w:rFonts w:ascii="Times New Roman" w:eastAsia="Calibri" w:hAnsi="Times New Roman" w:cs="Times New Roman"/>
          <w:sz w:val="28"/>
          <w:szCs w:val="28"/>
        </w:rPr>
        <w:t xml:space="preserve">Việc bổ sung các quy định này sẽ làm rõ chế độ báo cáo của Ủy ban Thường vụ Quốc hội trước Quốc hội, đồng thời bảo đảm tính thống nhất với quy định của Luật Hoạt động giám sát của Quốc hội và Hội đồng nhân dân.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 xml:space="preserve">b) Về việc triệu tập hội nghị đại biểu Quốc hội hoạt động chuyên trách: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sz w:val="28"/>
          <w:szCs w:val="28"/>
          <w:lang w:val="de-DE"/>
        </w:rPr>
      </w:pPr>
      <w:r w:rsidRPr="009E18F9">
        <w:rPr>
          <w:rFonts w:ascii="Times New Roman" w:eastAsia="Calibri" w:hAnsi="Times New Roman" w:cs="Times New Roman"/>
          <w:sz w:val="28"/>
          <w:szCs w:val="28"/>
          <w:lang w:val="es-ES"/>
        </w:rPr>
        <w:t>Luật đã b</w:t>
      </w:r>
      <w:r w:rsidRPr="009E18F9">
        <w:rPr>
          <w:rFonts w:ascii="Times New Roman" w:eastAsia="Calibri" w:hAnsi="Times New Roman" w:cs="Times New Roman"/>
          <w:sz w:val="28"/>
          <w:szCs w:val="28"/>
          <w:lang w:val="it-IT"/>
        </w:rPr>
        <w:t xml:space="preserve">ổ sung quy định về trách nhiệm của Ủy ban Thường vụ Quốc hội trong việc triệu tập, tổ chức hội nghị đại biểu Quốc hội hoạt động chuyên trách căn cứ vào yêu cầu, tình hình thực tiễn </w:t>
      </w:r>
      <w:r w:rsidRPr="009E18F9">
        <w:rPr>
          <w:rFonts w:ascii="Times New Roman" w:eastAsia="Calibri" w:hAnsi="Times New Roman" w:cs="Times New Roman"/>
          <w:bCs/>
          <w:sz w:val="28"/>
          <w:szCs w:val="28"/>
          <w:lang w:val="it-IT"/>
        </w:rPr>
        <w:t xml:space="preserve">để tăng cường hiệu quả hoạt động của đội ngũ </w:t>
      </w:r>
      <w:r w:rsidRPr="009E18F9">
        <w:rPr>
          <w:rFonts w:ascii="Times New Roman" w:eastAsia="Calibri" w:hAnsi="Times New Roman" w:cs="Times New Roman"/>
          <w:sz w:val="28"/>
          <w:szCs w:val="28"/>
          <w:lang w:val="it-IT"/>
        </w:rPr>
        <w:t xml:space="preserve">đại biểu Quốc hội </w:t>
      </w:r>
      <w:r w:rsidRPr="009E18F9">
        <w:rPr>
          <w:rFonts w:ascii="Times New Roman" w:eastAsia="Calibri" w:hAnsi="Times New Roman" w:cs="Times New Roman"/>
          <w:bCs/>
          <w:sz w:val="28"/>
          <w:szCs w:val="28"/>
          <w:lang w:val="it-IT"/>
        </w:rPr>
        <w:t xml:space="preserve">hoạt động chuyên trách (khoản 7 Điều 47). </w:t>
      </w:r>
      <w:r w:rsidRPr="009E18F9">
        <w:rPr>
          <w:rFonts w:ascii="Times New Roman" w:eastAsia="Calibri" w:hAnsi="Times New Roman" w:cs="Times New Roman"/>
          <w:sz w:val="28"/>
          <w:szCs w:val="28"/>
          <w:lang w:val="de-DE"/>
        </w:rPr>
        <w:t xml:space="preserve">Việc tổ chức hội nghị </w:t>
      </w:r>
      <w:r w:rsidRPr="009E18F9">
        <w:rPr>
          <w:rFonts w:ascii="Times New Roman" w:eastAsia="Calibri" w:hAnsi="Times New Roman" w:cs="Times New Roman"/>
          <w:sz w:val="28"/>
          <w:szCs w:val="28"/>
          <w:lang w:val="es-ES"/>
        </w:rPr>
        <w:t xml:space="preserve">đại biểu Quốc hội </w:t>
      </w:r>
      <w:r w:rsidRPr="009E18F9">
        <w:rPr>
          <w:rFonts w:ascii="Times New Roman" w:eastAsia="Calibri" w:hAnsi="Times New Roman" w:cs="Times New Roman"/>
          <w:sz w:val="28"/>
          <w:szCs w:val="28"/>
          <w:lang w:val="de-DE"/>
        </w:rPr>
        <w:t xml:space="preserve">hoạt động chuyên trách là cần thiết nhằm phát huy vai trò, trí tuệ tập thể của các </w:t>
      </w:r>
      <w:r w:rsidRPr="009E18F9">
        <w:rPr>
          <w:rFonts w:ascii="Times New Roman" w:eastAsia="Calibri" w:hAnsi="Times New Roman" w:cs="Times New Roman"/>
          <w:sz w:val="28"/>
          <w:szCs w:val="28"/>
          <w:lang w:val="it-IT"/>
        </w:rPr>
        <w:t>đại biểu Quốc hội</w:t>
      </w:r>
      <w:r w:rsidRPr="009E18F9">
        <w:rPr>
          <w:rFonts w:ascii="Times New Roman" w:eastAsia="Calibri" w:hAnsi="Times New Roman" w:cs="Times New Roman"/>
          <w:sz w:val="28"/>
          <w:szCs w:val="28"/>
          <w:lang w:val="de-DE"/>
        </w:rPr>
        <w:t xml:space="preserve"> hoạt động chuyên trách trong việc tham gia ý kiến về các dự án luật. Tuy nhiên, thực tế vừa qua cho thấy, không phải kỳ họp nào cũng có thể và cần thiết phải tổ chức hội nghị </w:t>
      </w:r>
      <w:r w:rsidRPr="009E18F9">
        <w:rPr>
          <w:rFonts w:ascii="Times New Roman" w:eastAsia="Calibri" w:hAnsi="Times New Roman" w:cs="Times New Roman"/>
          <w:sz w:val="28"/>
          <w:szCs w:val="28"/>
          <w:lang w:val="es-ES"/>
        </w:rPr>
        <w:t>đại biểu Quốc hội</w:t>
      </w:r>
      <w:r w:rsidRPr="009E18F9">
        <w:rPr>
          <w:rFonts w:ascii="Times New Roman" w:eastAsia="Calibri" w:hAnsi="Times New Roman" w:cs="Times New Roman"/>
          <w:sz w:val="28"/>
          <w:szCs w:val="28"/>
          <w:lang w:val="de-DE"/>
        </w:rPr>
        <w:t xml:space="preserve"> hoạt động chuyên trách (như trước kỳ họp thứ nhất của Quốc hội hoặc do tình hình dịch bệnh Covid –19 diễn biến phức tạp nên Ủy ban Thường vụ Quốc hội đã không tổ chức được hội nghị </w:t>
      </w:r>
      <w:r w:rsidRPr="009E18F9">
        <w:rPr>
          <w:rFonts w:ascii="Times New Roman" w:eastAsia="Calibri" w:hAnsi="Times New Roman" w:cs="Times New Roman"/>
          <w:sz w:val="28"/>
          <w:szCs w:val="28"/>
          <w:lang w:val="it-IT"/>
        </w:rPr>
        <w:t xml:space="preserve">đại biểu Quốc hội </w:t>
      </w:r>
      <w:r w:rsidRPr="009E18F9">
        <w:rPr>
          <w:rFonts w:ascii="Times New Roman" w:eastAsia="Calibri" w:hAnsi="Times New Roman" w:cs="Times New Roman"/>
          <w:sz w:val="28"/>
          <w:szCs w:val="28"/>
          <w:lang w:val="de-DE"/>
        </w:rPr>
        <w:t xml:space="preserve">hoạt động chuyên trách trước kỳ họp thứ 9 như đã dự kiến). Do đó, việc quy định </w:t>
      </w:r>
      <w:r w:rsidRPr="009E18F9">
        <w:rPr>
          <w:rFonts w:ascii="Times New Roman" w:eastAsia="Calibri" w:hAnsi="Times New Roman" w:cs="Times New Roman"/>
          <w:sz w:val="28"/>
          <w:szCs w:val="28"/>
          <w:lang w:val="de-DE" w:eastAsia="fr-FR"/>
        </w:rPr>
        <w:t xml:space="preserve">căn cứ vào yêu cầu, tình hình thực tiễn, Ủy ban Thường vụ Quốc hội quyết định triệu tập hội nghị </w:t>
      </w:r>
      <w:r w:rsidRPr="009E18F9">
        <w:rPr>
          <w:rFonts w:ascii="Times New Roman" w:eastAsia="Calibri" w:hAnsi="Times New Roman" w:cs="Times New Roman"/>
          <w:sz w:val="28"/>
          <w:szCs w:val="28"/>
          <w:lang w:val="it-IT"/>
        </w:rPr>
        <w:t>đại biểu Quốc hội</w:t>
      </w:r>
      <w:r w:rsidRPr="009E18F9">
        <w:rPr>
          <w:rFonts w:ascii="Times New Roman" w:eastAsia="Calibri" w:hAnsi="Times New Roman" w:cs="Times New Roman"/>
          <w:sz w:val="28"/>
          <w:szCs w:val="28"/>
          <w:lang w:val="de-DE" w:eastAsia="fr-FR"/>
        </w:rPr>
        <w:t xml:space="preserve"> hoạt động chuyên trách trước mỗi kỳ họp Quốc hội giúp bảo đảm tính khả thi của quy định này.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b/>
          <w:sz w:val="28"/>
          <w:szCs w:val="28"/>
          <w:lang w:val="de-DE"/>
        </w:rPr>
      </w:pPr>
      <w:r w:rsidRPr="009E18F9">
        <w:rPr>
          <w:rFonts w:ascii="Times New Roman" w:eastAsia="Calibri" w:hAnsi="Times New Roman" w:cs="Times New Roman"/>
          <w:b/>
          <w:i/>
          <w:sz w:val="28"/>
          <w:szCs w:val="28"/>
          <w:lang w:val="de-DE"/>
        </w:rPr>
        <w:t xml:space="preserve">c) Về một số nhiệm vụ, quyền hạn của Ủy ban Thường vụ Quốc hội: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de-DE"/>
        </w:rPr>
        <w:t>Để khắc phục những hạn chế trong việc thực hiện công tác quản lý cán bộ đối với đại biểu Quốc hội hoạt động chuyên trách trong thời gian qua, Luật đã b</w:t>
      </w:r>
      <w:r w:rsidRPr="009E18F9">
        <w:rPr>
          <w:rFonts w:ascii="Times New Roman" w:eastAsia="Calibri" w:hAnsi="Times New Roman" w:cs="Times New Roman"/>
          <w:sz w:val="28"/>
          <w:szCs w:val="28"/>
          <w:lang w:val="es-ES"/>
        </w:rPr>
        <w:t>ổ sung quy định Ủy ban Thường vụ Quốc hội quyết định, phê chuẩn số lượng và danh sách đại biểu Quốc hội hoạt động chuyên trách tại Đoàn đại biểu Quốc hội để bảo đảm tính linh hoạt và phù hợp với tình hình thực tế của từng địa phương</w:t>
      </w:r>
      <w:r w:rsidRPr="009E18F9" w:rsidDel="00973F73">
        <w:rPr>
          <w:rFonts w:ascii="Times New Roman" w:eastAsia="Calibri" w:hAnsi="Times New Roman" w:cs="Times New Roman"/>
          <w:sz w:val="28"/>
          <w:szCs w:val="28"/>
          <w:lang w:val="es-ES"/>
        </w:rPr>
        <w:t xml:space="preserve"> </w:t>
      </w:r>
      <w:r w:rsidRPr="009E18F9">
        <w:rPr>
          <w:rFonts w:ascii="Times New Roman" w:eastAsia="Calibri" w:hAnsi="Times New Roman" w:cs="Times New Roman"/>
          <w:sz w:val="28"/>
          <w:szCs w:val="28"/>
          <w:lang w:val="es-ES"/>
        </w:rPr>
        <w:t xml:space="preserve">(khoản 3a Điều 43). Đồng thời, bổ sung thẩm quyền của Ủy ban Thường vụ Quốc hội trong việc quy định cụ thể việc thực hiện công tác quản lý cán bộ đối với đại biểu Quốc hội hoạt động chuyên trách tại địa phương, việc </w:t>
      </w:r>
      <w:r w:rsidRPr="009E18F9">
        <w:rPr>
          <w:rFonts w:ascii="Times New Roman" w:eastAsia="Calibri" w:hAnsi="Times New Roman" w:cs="Times New Roman"/>
          <w:sz w:val="28"/>
          <w:szCs w:val="28"/>
          <w:lang w:val="es-ES"/>
        </w:rPr>
        <w:lastRenderedPageBreak/>
        <w:t xml:space="preserve">thực hiện nhiệm vụ đại biểu, </w:t>
      </w:r>
      <w:r w:rsidRPr="009E18F9">
        <w:rPr>
          <w:rFonts w:ascii="Times New Roman" w:eastAsia="Calibri" w:hAnsi="Times New Roman" w:cs="Times New Roman"/>
          <w:sz w:val="28"/>
          <w:szCs w:val="28"/>
          <w:lang w:val="it-IT"/>
        </w:rPr>
        <w:t xml:space="preserve">chế độ, chính sách và các điều kiện bảo đảm khác </w:t>
      </w:r>
      <w:r w:rsidRPr="009E18F9">
        <w:rPr>
          <w:rFonts w:ascii="Times New Roman" w:eastAsia="Calibri" w:hAnsi="Times New Roman" w:cs="Times New Roman"/>
          <w:sz w:val="28"/>
          <w:szCs w:val="28"/>
          <w:lang w:val="es-ES"/>
        </w:rPr>
        <w:t>đối với đại biểu Quốc hội, đại biểu Quốc hội hoạt động chuyên trách (khoản 1 Điều 54).</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pacing w:val="-2"/>
          <w:sz w:val="28"/>
          <w:szCs w:val="28"/>
          <w:lang w:val="it-IT"/>
        </w:rPr>
      </w:pPr>
      <w:r w:rsidRPr="009E18F9">
        <w:rPr>
          <w:rFonts w:ascii="Times New Roman" w:eastAsia="Calibri" w:hAnsi="Times New Roman" w:cs="Times New Roman"/>
          <w:sz w:val="28"/>
          <w:szCs w:val="28"/>
          <w:lang w:val="es-ES"/>
        </w:rPr>
        <w:t xml:space="preserve">Về trách nhiệm của Ủy ban Thường vụ Quốc hội trong việc tổ chức trưng cầu ý dân, </w:t>
      </w:r>
      <w:r w:rsidRPr="009E18F9">
        <w:rPr>
          <w:rFonts w:ascii="Times New Roman" w:eastAsia="Calibri" w:hAnsi="Times New Roman" w:cs="Times New Roman"/>
          <w:bCs/>
          <w:iCs/>
          <w:sz w:val="28"/>
          <w:szCs w:val="28"/>
          <w:lang w:val="it-IT"/>
        </w:rPr>
        <w:t>cùng với Luật Tổ chức Quốc hội, một vài luật chuyên ngành khác như: Luật Hoạt động giám sát của Quốc hội và Hội đồng nhân dân, Luật Trưng cầu ý dân... đều có quy định cụ thể về thẩm quyền, trách nhiệm và quy trình, thủ tục thực hiện để thực hiện nhiệm vụ, quyền hạn cụ thể thuộc chức năng của Quốc hội. Điều này dẫn đến việc quy định trùng lắp, có khi còn thiếu thống nhất về cùng một nội dung giữa các luật</w:t>
      </w:r>
      <w:r w:rsidRPr="009E18F9">
        <w:rPr>
          <w:rFonts w:ascii="Times New Roman" w:eastAsia="Calibri" w:hAnsi="Times New Roman" w:cs="Times New Roman"/>
          <w:bCs/>
          <w:iCs/>
          <w:sz w:val="28"/>
          <w:szCs w:val="28"/>
          <w:vertAlign w:val="superscript"/>
          <w:lang w:val="it-IT"/>
        </w:rPr>
        <w:footnoteReference w:id="2"/>
      </w:r>
      <w:r w:rsidRPr="009E18F9">
        <w:rPr>
          <w:rFonts w:ascii="Times New Roman" w:eastAsia="Calibri" w:hAnsi="Times New Roman" w:cs="Times New Roman"/>
          <w:bCs/>
          <w:iCs/>
          <w:sz w:val="28"/>
          <w:szCs w:val="28"/>
          <w:lang w:val="it-IT"/>
        </w:rPr>
        <w:t xml:space="preserve">, nếu tiếp tục duy trì cách quy định một nội dung ở cả hai luật như hiện nay sẽ gây khó khăn trong quá trình thực hiện và sửa đổi luật. Vì vậy, </w:t>
      </w:r>
      <w:r w:rsidRPr="009E18F9">
        <w:rPr>
          <w:rFonts w:ascii="Times New Roman" w:eastAsia="Calibri" w:hAnsi="Times New Roman" w:cs="Times New Roman"/>
          <w:sz w:val="28"/>
          <w:szCs w:val="28"/>
          <w:lang w:val="es-ES"/>
        </w:rPr>
        <w:t xml:space="preserve">Luật đã sửa đổi theo hướng quy định khái quát về trách nhiệm của Ủy ban Thường vụ Quốc hội </w:t>
      </w:r>
      <w:r w:rsidRPr="009E18F9">
        <w:rPr>
          <w:rFonts w:ascii="Times New Roman" w:eastAsia="Calibri" w:hAnsi="Times New Roman" w:cs="Times New Roman"/>
          <w:spacing w:val="-2"/>
          <w:sz w:val="28"/>
          <w:szCs w:val="28"/>
          <w:lang w:val="it-IT"/>
        </w:rPr>
        <w:t xml:space="preserve">trong việc tổ chức trưng cầu ý dân theo hướng viện dẫn đến Luật Trưng cầu ý dân. Theo đó, Ủy ban Thường vụ Quốc hội tổ chức trưng cầu ý dân theo quyết định của Quốc hội và thực hiện nhiệm vụ, quyền hạn trong việc trưng cầu ý dân theo quy định của Luật Trưng cầu ý dân (Điều 59).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sz w:val="28"/>
          <w:szCs w:val="28"/>
          <w:lang w:val="es-ES"/>
        </w:rPr>
      </w:pPr>
      <w:r w:rsidRPr="009E18F9">
        <w:rPr>
          <w:rFonts w:ascii="Times New Roman" w:eastAsia="Calibri" w:hAnsi="Times New Roman" w:cs="Times New Roman"/>
          <w:b/>
          <w:sz w:val="28"/>
          <w:szCs w:val="28"/>
          <w:lang w:val="es-ES"/>
        </w:rPr>
        <w:t>4. Về Hội đồng Dân tộc, các Ủy ban của Quốc hội</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pacing w:val="-4"/>
          <w:sz w:val="28"/>
          <w:szCs w:val="28"/>
          <w:lang w:val="es-ES"/>
        </w:rPr>
      </w:pPr>
      <w:r w:rsidRPr="009E18F9">
        <w:rPr>
          <w:rFonts w:ascii="Times New Roman" w:eastAsia="Calibri" w:hAnsi="Times New Roman" w:cs="Times New Roman"/>
          <w:spacing w:val="-4"/>
          <w:sz w:val="28"/>
          <w:szCs w:val="28"/>
          <w:lang w:val="es-ES"/>
        </w:rPr>
        <w:t>So với quy định của Luật Tổ chức Quốc hội hiện hành, Luật sửa đổi, bổ sung một số điều Luật Tổ chức Quốc hội đã bổ sung một số quy định sau đây:</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a) Về tên gọi của một số Ủy ban:</w:t>
      </w:r>
      <w:r w:rsidRPr="009E18F9">
        <w:rPr>
          <w:rFonts w:ascii="Times New Roman" w:eastAsia="Calibri" w:hAnsi="Times New Roman" w:cs="Times New Roman"/>
          <w:b/>
          <w:sz w:val="28"/>
          <w:szCs w:val="28"/>
          <w:lang w:val="es-ES"/>
        </w:rPr>
        <w:t xml:space="preserve">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 xml:space="preserve">Một trong những điểm mới của Luật sửa đổi, bổ sung một số điều của Luật Tổ chức Quốc hội là đổi tên Ủy ban Văn hóa, Giáo dục, Thanh niên, Thiếu niên và Nhi đồng thành Ủy ban Văn hóa, Giáo dục và đổi tên Ủy ban về các vấn đề Xã hội thành Ủy ban Xã hội để bắt đầu thực hiện từ nhiệm kỳ Quốc hội khóa XV. Việc đổi tên gọi của 02 Ủy ban là để bảo đảm ngắn gọn, dễ hiểu, dễ nhớ, thể hiện được lĩnh vực hoạt động chủ yếu của cơ quan.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it-IT"/>
        </w:rPr>
      </w:pPr>
      <w:r w:rsidRPr="009E18F9">
        <w:rPr>
          <w:rFonts w:ascii="Times New Roman" w:eastAsia="Calibri" w:hAnsi="Times New Roman" w:cs="Times New Roman"/>
          <w:b/>
          <w:i/>
          <w:sz w:val="28"/>
          <w:szCs w:val="28"/>
          <w:lang w:val="it-IT"/>
        </w:rPr>
        <w:t xml:space="preserve">b) Về cơ cấu của Hội đồng Dân tộc, các Ủy ban của Quốc hội: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it-IT"/>
        </w:rPr>
        <w:t xml:space="preserve">Luật hiện hành quy định Hội đồng Dân tộc gồm có Chủ tịch, các Phó Chủ tịch, Ủy viên Thường trực, Ủy viên Chuyên trách và các Ủy viên khác; Ủy ban của Quốc hội gồm có Chủ nhiệm, các Phó Chủ nhiệm, Ủy viên Thường </w:t>
      </w:r>
      <w:r w:rsidRPr="009E18F9">
        <w:rPr>
          <w:rFonts w:ascii="Times New Roman" w:eastAsia="Calibri" w:hAnsi="Times New Roman" w:cs="Times New Roman"/>
          <w:sz w:val="28"/>
          <w:szCs w:val="28"/>
          <w:lang w:val="it-IT"/>
        </w:rPr>
        <w:lastRenderedPageBreak/>
        <w:t xml:space="preserve">trực, Ủy viên Chuyên trách và các Ủy viên khác. </w:t>
      </w:r>
      <w:r w:rsidRPr="009E18F9">
        <w:rPr>
          <w:rFonts w:ascii="Times New Roman" w:eastAsia="Calibri" w:hAnsi="Times New Roman" w:cs="Times New Roman"/>
          <w:sz w:val="28"/>
          <w:szCs w:val="28"/>
          <w:lang w:val="es-ES"/>
        </w:rPr>
        <w:t xml:space="preserve">Qua thực tiễn hoạt động của Hội đồng Dân tộc, các Ủy ban của Quốc hội cho thấy mặc dù Thường trực Hội đồng, Thường trực Ủy ban đã được bổ sung nhiều về mặt số lượng nhưng hiệu quả làm việc, mức độ đóng góp của từng thành viên, nhất là các đồng chí Ủy viên Thường trực, Ủy viên Chuyên trách còn chưa thực sự rõ rệt do trách nhiệm, quyền hạn, cơ chế làm việc của các chức danh này chưa được luật xác định rõ; việc tham gia hoạt động của các thành viên là đại biểu Quốc hội hoạt động kiêm nhiệm cũng còn hạn chế.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it-IT"/>
        </w:rPr>
      </w:pPr>
      <w:r w:rsidRPr="009E18F9">
        <w:rPr>
          <w:rFonts w:ascii="Times New Roman" w:eastAsia="Calibri" w:hAnsi="Times New Roman" w:cs="Times New Roman"/>
          <w:sz w:val="28"/>
          <w:szCs w:val="28"/>
          <w:lang w:val="it-IT"/>
        </w:rPr>
        <w:t xml:space="preserve">Vì vậy, để </w:t>
      </w:r>
      <w:r w:rsidRPr="009E18F9">
        <w:rPr>
          <w:rFonts w:ascii="Times New Roman" w:eastAsia="Calibri" w:hAnsi="Times New Roman" w:cs="Times New Roman"/>
          <w:sz w:val="28"/>
          <w:szCs w:val="28"/>
          <w:lang w:val="it-IT" w:eastAsia="fr-FR"/>
        </w:rPr>
        <w:t xml:space="preserve">bảo đảm tính ổn định, kế thừa quy định hiện hành, xác định rõ từng loại chức danh (vị trí việc làm), </w:t>
      </w:r>
      <w:r w:rsidRPr="009E18F9">
        <w:rPr>
          <w:rFonts w:ascii="Times New Roman" w:eastAsia="Calibri" w:hAnsi="Times New Roman" w:cs="Times New Roman"/>
          <w:sz w:val="28"/>
          <w:szCs w:val="28"/>
          <w:lang w:val="it-IT"/>
        </w:rPr>
        <w:t xml:space="preserve">gắn với tiêu chuẩn, điều kiện, chế độ đãi ngộ cụ thể, tạo bước đệm, chuẩn bị nhân sự kế cận để có thể thu hút cán bộ về Quốc hội cũng như có thêm thời gian để đại biểu Quốc hội hoạt động chuyên trách được trau dồi, rèn luyện, tích lũy kinh nghiệm hoạt động, Luật sửa đổi, bổ sung Luật Tổ chức Quốc hội vẫn tiếp tục </w:t>
      </w:r>
      <w:r w:rsidRPr="009E18F9">
        <w:rPr>
          <w:rFonts w:ascii="Times New Roman" w:eastAsia="Calibri" w:hAnsi="Times New Roman" w:cs="Times New Roman"/>
          <w:color w:val="000000"/>
          <w:sz w:val="28"/>
          <w:szCs w:val="28"/>
          <w:lang w:val="vi-VN"/>
        </w:rPr>
        <w:t xml:space="preserve">giữ </w:t>
      </w:r>
      <w:r w:rsidRPr="009E18F9">
        <w:rPr>
          <w:rFonts w:ascii="Times New Roman" w:eastAsia="Calibri" w:hAnsi="Times New Roman" w:cs="Times New Roman"/>
          <w:color w:val="000000"/>
          <w:sz w:val="28"/>
          <w:szCs w:val="28"/>
          <w:lang w:val="it-IT"/>
        </w:rPr>
        <w:t xml:space="preserve">cơ cấu </w:t>
      </w:r>
      <w:r w:rsidRPr="009E18F9">
        <w:rPr>
          <w:rFonts w:ascii="Times New Roman" w:eastAsia="Calibri" w:hAnsi="Times New Roman" w:cs="Times New Roman"/>
          <w:color w:val="000000"/>
          <w:sz w:val="28"/>
          <w:szCs w:val="28"/>
          <w:lang w:val="vi-VN"/>
        </w:rPr>
        <w:t xml:space="preserve">Hội đồng </w:t>
      </w:r>
      <w:r w:rsidRPr="009E18F9">
        <w:rPr>
          <w:rFonts w:ascii="Times New Roman" w:eastAsia="Calibri" w:hAnsi="Times New Roman" w:cs="Times New Roman"/>
          <w:color w:val="000000"/>
          <w:sz w:val="28"/>
          <w:szCs w:val="28"/>
          <w:lang w:val="it-IT"/>
        </w:rPr>
        <w:t>D</w:t>
      </w:r>
      <w:r w:rsidRPr="009E18F9">
        <w:rPr>
          <w:rFonts w:ascii="Times New Roman" w:eastAsia="Calibri" w:hAnsi="Times New Roman" w:cs="Times New Roman"/>
          <w:color w:val="000000"/>
          <w:sz w:val="28"/>
          <w:szCs w:val="28"/>
          <w:lang w:val="vi-VN"/>
        </w:rPr>
        <w:t xml:space="preserve">ân tộc, </w:t>
      </w:r>
      <w:r w:rsidRPr="009E18F9">
        <w:rPr>
          <w:rFonts w:ascii="Times New Roman" w:eastAsia="Calibri" w:hAnsi="Times New Roman" w:cs="Times New Roman"/>
          <w:color w:val="000000"/>
          <w:sz w:val="28"/>
          <w:szCs w:val="28"/>
          <w:lang w:val="it-IT"/>
        </w:rPr>
        <w:t>Ủy</w:t>
      </w:r>
      <w:r w:rsidRPr="009E18F9">
        <w:rPr>
          <w:rFonts w:ascii="Times New Roman" w:eastAsia="Calibri" w:hAnsi="Times New Roman" w:cs="Times New Roman"/>
          <w:color w:val="000000"/>
          <w:sz w:val="28"/>
          <w:szCs w:val="28"/>
          <w:lang w:val="vi-VN"/>
        </w:rPr>
        <w:t xml:space="preserve"> ban của Quốc hội </w:t>
      </w:r>
      <w:r w:rsidRPr="009E18F9">
        <w:rPr>
          <w:rFonts w:ascii="Times New Roman" w:eastAsia="Calibri" w:hAnsi="Times New Roman" w:cs="Times New Roman"/>
          <w:color w:val="000000"/>
          <w:sz w:val="28"/>
          <w:szCs w:val="28"/>
          <w:lang w:val="it-IT"/>
        </w:rPr>
        <w:t xml:space="preserve">như Luật Tổ chức Quốc hội hiện hành nhưng </w:t>
      </w:r>
      <w:r w:rsidRPr="009E18F9">
        <w:rPr>
          <w:rFonts w:ascii="Times New Roman" w:eastAsia="Calibri" w:hAnsi="Times New Roman" w:cs="Times New Roman"/>
          <w:sz w:val="28"/>
          <w:szCs w:val="28"/>
        </w:rPr>
        <w:t xml:space="preserve">mở rộng </w:t>
      </w:r>
      <w:r w:rsidRPr="009E18F9">
        <w:rPr>
          <w:rFonts w:ascii="Times New Roman" w:eastAsia="Calibri" w:hAnsi="Times New Roman" w:cs="Times New Roman"/>
          <w:color w:val="000000"/>
          <w:sz w:val="28"/>
          <w:szCs w:val="28"/>
          <w:lang w:val="it-IT"/>
        </w:rPr>
        <w:t xml:space="preserve">cơ cấu </w:t>
      </w:r>
      <w:r w:rsidRPr="009E18F9">
        <w:rPr>
          <w:rFonts w:ascii="Times New Roman" w:eastAsia="Calibri" w:hAnsi="Times New Roman" w:cs="Times New Roman"/>
          <w:color w:val="000000"/>
          <w:sz w:val="28"/>
          <w:szCs w:val="28"/>
          <w:lang w:val="it-IT" w:eastAsia="fr-FR"/>
        </w:rPr>
        <w:t xml:space="preserve">của Thường trực Hội đồng, Thường trực Ủy ban. Theo đó, trong cơ cấu của Thường trực Hội đồng Dân tộc, Thường trực Ủy ban của Quốc hội, ngoài Chủ tịch/Chủ nhiệm, Phó Chủ tịch/Phó Chủ nhiệm và Ủy viên Thường trực còn bổ sung chức danh Ủy viên Chuyên trách (khoản 3 Điều 67). Với quy định này, một mặt sẽ tạo điều kiện để thực hiện được yêu cầu của Nghị quyết Trung ương; mặt khác, giúp tăng cường chất lượng, hiệu quả hoạt động của Thường trực Hội đồng, Thường trực Ủy ban khi có tất cả đại biểu Quốc hội hoạt động chuyên trách làm việc thường xuyên.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es-ES"/>
        </w:rPr>
      </w:pPr>
      <w:r w:rsidRPr="009E18F9">
        <w:rPr>
          <w:rFonts w:ascii="Times New Roman" w:eastAsia="Calibri" w:hAnsi="Times New Roman" w:cs="Times New Roman"/>
          <w:b/>
          <w:i/>
          <w:sz w:val="28"/>
          <w:szCs w:val="28"/>
          <w:lang w:val="es-ES"/>
        </w:rPr>
        <w:t xml:space="preserve">c) Về trách nhiệm của Hội đồng Dân tộc, các Ủy ban của Quốc hội: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it-IT"/>
        </w:rPr>
      </w:pPr>
      <w:r w:rsidRPr="009E18F9">
        <w:rPr>
          <w:rFonts w:ascii="Times New Roman" w:eastAsia="Calibri" w:hAnsi="Times New Roman" w:cs="Times New Roman"/>
          <w:sz w:val="28"/>
          <w:szCs w:val="28"/>
          <w:lang w:val="es-ES"/>
        </w:rPr>
        <w:t>Luật đã bổ sung quy định trách nhiệm của các cơ quan trong việc</w:t>
      </w:r>
      <w:r w:rsidRPr="009E18F9">
        <w:rPr>
          <w:rFonts w:ascii="Times New Roman" w:eastAsia="Calibri" w:hAnsi="Times New Roman" w:cs="Times New Roman"/>
          <w:sz w:val="28"/>
          <w:szCs w:val="28"/>
          <w:lang w:val="it-IT"/>
        </w:rPr>
        <w:t xml:space="preserve"> tham gia thẩm tra nội dung liên quan đến lĩnh vực Hội đồng Dân tộc, Ủy ban phụ trách trong dự án luật, pháp lệnh, dự thảo nghị quyết do cơ quan khác của Quốc hội chủ trì thẩm tra (khoản 1 Điều 79); trong quá trình thẩm tra dự án luật, pháp lệnh, dự thảo nghị quyết, Hội đồng Dân tộc, Ủy ban có trách nhiệm bảo đảm tính hợp hiến, tính hợp pháp và tính thống nhất của dự án luật, pháp lệnh, dự thảo nghị quyết với hệ thống pháp luật (khoản 1 Điều 80). Với quy định này, việc thẩm tra các dự án luật, pháp lệnh thuộc các lĩnh vực sẽ được đánh giá toàn diện, khách quan hơn, bảo đảm tính chặt chẽ, nâng cao hiệu quả thi hành trong thực tiễn đồng thời cũng phù hợp với thực tế hiện nay, các cơ quan của </w:t>
      </w:r>
      <w:r w:rsidRPr="009E18F9">
        <w:rPr>
          <w:rFonts w:ascii="Times New Roman" w:eastAsia="Calibri" w:hAnsi="Times New Roman" w:cs="Times New Roman"/>
          <w:sz w:val="28"/>
          <w:szCs w:val="28"/>
          <w:lang w:val="it-IT"/>
        </w:rPr>
        <w:lastRenderedPageBreak/>
        <w:t xml:space="preserve">Quốc hội luôn tích cực tham gia thẩm tra, góp ý kiến đối với dự thảo luật, pháp lệnh thuộc phạm vi, lĩnh vực phụ trách. </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b/>
          <w:i/>
          <w:sz w:val="28"/>
          <w:szCs w:val="28"/>
          <w:lang w:val="it-IT"/>
        </w:rPr>
      </w:pPr>
      <w:r w:rsidRPr="009E18F9">
        <w:rPr>
          <w:rFonts w:ascii="Times New Roman" w:eastAsia="Calibri" w:hAnsi="Times New Roman" w:cs="Times New Roman"/>
          <w:b/>
          <w:i/>
          <w:sz w:val="28"/>
          <w:szCs w:val="28"/>
          <w:lang w:val="it-IT"/>
        </w:rPr>
        <w:t>d) Về phiên họp của Hội đồng Dân tộc, các Ủy ban:</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lang w:val="es-ES"/>
        </w:rPr>
      </w:pPr>
      <w:r w:rsidRPr="009E18F9">
        <w:rPr>
          <w:rFonts w:ascii="Times New Roman" w:eastAsia="Calibri" w:hAnsi="Times New Roman" w:cs="Times New Roman"/>
          <w:sz w:val="28"/>
          <w:szCs w:val="28"/>
          <w:lang w:val="es-ES"/>
        </w:rPr>
        <w:t>Thực tiễn thời gian qua cho thấy, tỷ lệ đại biểu Quốc hội là thành viên Hội đồng Dân tộc, các Ủy ban tham dự phiên họp toàn thể của Hội đồng Dân tộc, các Ủy ban còn chưa cao, ảnh hưởng trực tiếp đến chất lượng và giá trị pháp lý của các quyết định được thông qua tại Hội đồng, Ủy ban.</w:t>
      </w:r>
    </w:p>
    <w:p w:rsidR="009E18F9" w:rsidRPr="009E18F9" w:rsidRDefault="009E18F9" w:rsidP="009E18F9">
      <w:pPr>
        <w:tabs>
          <w:tab w:val="left" w:pos="1918"/>
        </w:tabs>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z w:val="28"/>
          <w:szCs w:val="28"/>
          <w:lang w:val="es-ES"/>
        </w:rPr>
        <w:t xml:space="preserve">Vì vậy, Luật sửa đổi, bổ sung đã quy định cụ thể hơn về phiên họp của Hội đồng Dân tộc, các Ủy ban của Quốc hội, trách nhiệm tham gia phiên họp của các thành viên. Theo đó, </w:t>
      </w:r>
      <w:r w:rsidRPr="009E18F9">
        <w:rPr>
          <w:rFonts w:ascii="Times New Roman" w:eastAsia="Times New Roman" w:hAnsi="Times New Roman" w:cs="Times New Roman"/>
          <w:sz w:val="28"/>
          <w:szCs w:val="28"/>
          <w:u w:color="000000"/>
          <w:lang w:val="it-IT"/>
        </w:rPr>
        <w:t>phiên họp toàn thể của Hội đồng Dân tộc, Ủy ban phải có quá nửa tổng số thành viên của Hội đồng, Ủy ban tham dự. Báo cáo, nghị quyết, kiến nghị, các nội dung khác thuộc thẩm quyền quyết định của Hội đồng Dân tộc, Ủy ban được thông qua khi có</w:t>
      </w:r>
      <w:r w:rsidRPr="009E18F9">
        <w:rPr>
          <w:rFonts w:ascii="Times New Roman" w:eastAsia="Calibri" w:hAnsi="Times New Roman" w:cs="Times New Roman"/>
          <w:sz w:val="28"/>
          <w:szCs w:val="28"/>
          <w:lang w:val="it-IT"/>
        </w:rPr>
        <w:t xml:space="preserve"> </w:t>
      </w:r>
      <w:r w:rsidRPr="009E18F9">
        <w:rPr>
          <w:rFonts w:ascii="Times New Roman" w:eastAsia="Times New Roman" w:hAnsi="Times New Roman" w:cs="Times New Roman"/>
          <w:sz w:val="28"/>
          <w:szCs w:val="28"/>
          <w:u w:color="000000"/>
          <w:lang w:val="it-IT"/>
        </w:rPr>
        <w:t xml:space="preserve">quá nửa tổng số thành viên của Hội đồng, Ủy ban biểu quyết tán thành. </w:t>
      </w:r>
      <w:r w:rsidRPr="009E18F9">
        <w:rPr>
          <w:rFonts w:ascii="Times New Roman" w:eastAsia="Calibri" w:hAnsi="Times New Roman" w:cs="Times New Roman"/>
          <w:sz w:val="28"/>
          <w:szCs w:val="28"/>
          <w:lang w:val="vi-VN"/>
        </w:rPr>
        <w:t xml:space="preserve">Thành viên của Hội đồng </w:t>
      </w:r>
      <w:r w:rsidRPr="009E18F9">
        <w:rPr>
          <w:rFonts w:ascii="Times New Roman" w:eastAsia="Calibri" w:hAnsi="Times New Roman" w:cs="Times New Roman"/>
          <w:sz w:val="28"/>
          <w:szCs w:val="28"/>
        </w:rPr>
        <w:t>D</w:t>
      </w:r>
      <w:r w:rsidRPr="009E18F9">
        <w:rPr>
          <w:rFonts w:ascii="Times New Roman" w:eastAsia="Calibri" w:hAnsi="Times New Roman" w:cs="Times New Roman"/>
          <w:sz w:val="28"/>
          <w:szCs w:val="28"/>
          <w:lang w:val="vi-VN"/>
        </w:rPr>
        <w:t xml:space="preserve">ân tộc, Ủy ban có trách nhiệm tham dự phiên họp của Hội đồng, Ủy ban theo triệu tập của Chủ tịch Hội đồng, Chủ nhiệm </w:t>
      </w:r>
      <w:r w:rsidRPr="009E18F9">
        <w:rPr>
          <w:rFonts w:ascii="Times New Roman" w:eastAsia="Times New Roman" w:hAnsi="Times New Roman" w:cs="Times New Roman"/>
          <w:sz w:val="28"/>
          <w:szCs w:val="28"/>
          <w:u w:color="000000"/>
          <w:lang w:val="it-IT"/>
        </w:rPr>
        <w:t>Ủy</w:t>
      </w:r>
      <w:r w:rsidRPr="009E18F9">
        <w:rPr>
          <w:rFonts w:ascii="Times New Roman" w:eastAsia="Calibri" w:hAnsi="Times New Roman" w:cs="Times New Roman"/>
          <w:sz w:val="28"/>
          <w:szCs w:val="28"/>
          <w:lang w:val="vi-VN"/>
        </w:rPr>
        <w:t xml:space="preserve"> ban; thảo luận và biểu quyết các vấn đề </w:t>
      </w:r>
      <w:r w:rsidRPr="009E18F9">
        <w:rPr>
          <w:rFonts w:ascii="Times New Roman" w:eastAsia="Calibri" w:hAnsi="Times New Roman" w:cs="Times New Roman"/>
          <w:sz w:val="28"/>
          <w:szCs w:val="28"/>
        </w:rPr>
        <w:t xml:space="preserve">được đưa ra </w:t>
      </w:r>
      <w:r w:rsidRPr="009E18F9">
        <w:rPr>
          <w:rFonts w:ascii="Times New Roman" w:eastAsia="Calibri" w:hAnsi="Times New Roman" w:cs="Times New Roman"/>
          <w:sz w:val="28"/>
          <w:szCs w:val="28"/>
          <w:lang w:val="vi-VN"/>
        </w:rPr>
        <w:t>xem xét tại phiên họp</w:t>
      </w:r>
      <w:r w:rsidRPr="009E18F9">
        <w:rPr>
          <w:rFonts w:ascii="Times New Roman" w:eastAsia="Calibri" w:hAnsi="Times New Roman" w:cs="Times New Roman"/>
          <w:sz w:val="28"/>
          <w:szCs w:val="28"/>
        </w:rPr>
        <w:t>. T</w:t>
      </w:r>
      <w:r w:rsidRPr="009E18F9">
        <w:rPr>
          <w:rFonts w:ascii="Times New Roman" w:eastAsia="Calibri" w:hAnsi="Times New Roman" w:cs="Times New Roman"/>
          <w:sz w:val="28"/>
          <w:szCs w:val="28"/>
          <w:lang w:val="vi-VN"/>
        </w:rPr>
        <w:t xml:space="preserve">rường hợp không tham dự phiên họp thì phải </w:t>
      </w:r>
      <w:r w:rsidRPr="009E18F9">
        <w:rPr>
          <w:rFonts w:ascii="Times New Roman" w:eastAsia="Calibri" w:hAnsi="Times New Roman" w:cs="Times New Roman"/>
          <w:sz w:val="28"/>
          <w:szCs w:val="28"/>
        </w:rPr>
        <w:t xml:space="preserve">có lý do chính đáng, phải </w:t>
      </w:r>
      <w:r w:rsidRPr="009E18F9">
        <w:rPr>
          <w:rFonts w:ascii="Times New Roman" w:eastAsia="Calibri" w:hAnsi="Times New Roman" w:cs="Times New Roman"/>
          <w:sz w:val="28"/>
          <w:szCs w:val="28"/>
          <w:lang w:val="vi-VN"/>
        </w:rPr>
        <w:t xml:space="preserve">báo cáo </w:t>
      </w:r>
      <w:r w:rsidRPr="009E18F9">
        <w:rPr>
          <w:rFonts w:ascii="Times New Roman" w:eastAsia="Calibri" w:hAnsi="Times New Roman" w:cs="Times New Roman"/>
          <w:sz w:val="28"/>
          <w:szCs w:val="28"/>
        </w:rPr>
        <w:t xml:space="preserve">và được sự đồng ý của </w:t>
      </w:r>
      <w:r w:rsidRPr="009E18F9">
        <w:rPr>
          <w:rFonts w:ascii="Times New Roman" w:eastAsia="Calibri" w:hAnsi="Times New Roman" w:cs="Times New Roman"/>
          <w:sz w:val="28"/>
          <w:szCs w:val="28"/>
          <w:lang w:val="vi-VN"/>
        </w:rPr>
        <w:t>Chủ tịch Hội đồng, Chủ nhiệm Ủy ban</w:t>
      </w:r>
      <w:r w:rsidRPr="009E18F9">
        <w:rPr>
          <w:rFonts w:ascii="Times New Roman" w:eastAsia="Calibri" w:hAnsi="Times New Roman" w:cs="Times New Roman"/>
          <w:sz w:val="28"/>
          <w:szCs w:val="28"/>
        </w:rPr>
        <w:t xml:space="preserve"> (Điều 87).</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b/>
          <w:sz w:val="28"/>
          <w:szCs w:val="28"/>
        </w:rPr>
      </w:pPr>
      <w:bookmarkStart w:id="2" w:name="_Hlk43224397"/>
      <w:r w:rsidRPr="009E18F9">
        <w:rPr>
          <w:rFonts w:ascii="Times New Roman" w:eastAsia="Calibri" w:hAnsi="Times New Roman" w:cs="Times New Roman"/>
          <w:b/>
          <w:sz w:val="28"/>
          <w:szCs w:val="28"/>
        </w:rPr>
        <w:t xml:space="preserve">V. TỔ CHỨC TRIỂN KHAI THI HÀNH LUẬT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b/>
          <w:sz w:val="28"/>
          <w:szCs w:val="28"/>
        </w:rPr>
      </w:pPr>
      <w:r w:rsidRPr="009E18F9">
        <w:rPr>
          <w:rFonts w:ascii="Times New Roman" w:eastAsia="Calibri" w:hAnsi="Times New Roman" w:cs="Times New Roman"/>
          <w:sz w:val="28"/>
          <w:szCs w:val="28"/>
        </w:rPr>
        <w:t>Để tổ chức triển khai thi hành Luật sửa đổi, bổ sung một số điều của Luật Tổ chức Quốc hội, Luật có 03 nội dung giao Ủy ban Thường vụ Quốc hội quy định cụ thể, bao gồm: (i) Ban hành Nghị quyết quy định chức năng, nhiệm vụ, quyền hạn và cơ cấu tổ chức của Văn phòng Đoàn đại biểu Quốc hội và Hội đồng nhân dân cấp tỉnh (khoản 4 Điều 1 và khoản 3 Điều 2)</w:t>
      </w:r>
      <w:r w:rsidRPr="009E18F9">
        <w:rPr>
          <w:rFonts w:ascii="Times New Roman" w:eastAsia="Calibri" w:hAnsi="Times New Roman" w:cs="Times New Roman"/>
          <w:spacing w:val="-2"/>
          <w:sz w:val="28"/>
          <w:szCs w:val="28"/>
          <w:lang w:val="de-DE"/>
        </w:rPr>
        <w:t xml:space="preserve">; (ii) </w:t>
      </w:r>
      <w:r w:rsidRPr="009E18F9">
        <w:rPr>
          <w:rFonts w:ascii="Times New Roman" w:eastAsia="Calibri" w:hAnsi="Times New Roman" w:cs="Times New Roman"/>
          <w:sz w:val="28"/>
          <w:szCs w:val="28"/>
        </w:rPr>
        <w:t xml:space="preserve">Công tác quản lý cán bộ đối với đại biểu Quốc hội hoạt động chuyên trách; (iii) Việc thực hiện nhiệm vụ đại biểu, chế độ, chính sách và điều kiện bảo đảm khác đối với đại biểu Quốc hội (điểm b khoản 4, điểm a khoản 8 và khoản 15 Điều 1).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z w:val="28"/>
          <w:szCs w:val="28"/>
        </w:rPr>
        <w:t xml:space="preserve">Đồng thời, để bảo đảm hiệu lực thi hành của Luật sửa đổi, bổ sung một số điều của Luật Tổ chức Quốc hội và kịp thời triển khai thực hiện chỉ đạo của cấp có thẩm quyền, tại phiên họp thứ 46 (tháng 7/2020), Ủy ban Thường vụ Quốc hội đã xem xét, chỉ đạo các nội dung công việc cần triển khai để chuẩn bị thi hành Luật sửa đổi, bổ sung một số điều của Luật Tổ chức Quốc hội, đồng </w:t>
      </w:r>
      <w:r w:rsidRPr="009E18F9">
        <w:rPr>
          <w:rFonts w:ascii="Times New Roman" w:eastAsia="Calibri" w:hAnsi="Times New Roman" w:cs="Times New Roman"/>
          <w:sz w:val="28"/>
          <w:szCs w:val="28"/>
        </w:rPr>
        <w:lastRenderedPageBreak/>
        <w:t xml:space="preserve">thời phân công việc rà soát, soạn thảo, thẩm tra để trình Ủy ban Thường vụ Quốc hội xem xét, quyết định các nội dung sau đây: </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z w:val="28"/>
          <w:szCs w:val="28"/>
        </w:rPr>
        <w:t>- Giao Văn phòng Quốc hội chủ trì, phối hợp với Ban Công tác đại biểu và các cơ quan hữu quan khác khẩn trương soạn thảo, trình Ủy ban Thường vụ Quốc hội ban hành Nghị quyết quy định chức năng, nhiệm vụ, quyền hạn và cơ cấu tổ chức của Văn phòng Đoàn đại biểu Quốc hội và Hội đồng nhân dân cấp tỉnh trước ngày 15/10/2020; rà soát các quy định hiện hành về việc bảo đảm chế độ, chính sách và điều kiện bảo đảm khác đối với đại biểu Quốc hội, đại biểu Quốc hội hoạt động chuyên trách, bảo đảm kinh phí hoạt động của các Đoàn đại biểu Quốc hội để đề xuất các nội dung cần sửa đổi, bổ sung, ban hành mới, báo cáo Ủy ban Thường vụ Quốc hội chậm nhất là tháng 12/2020.</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z w:val="28"/>
          <w:szCs w:val="28"/>
        </w:rPr>
        <w:t>- Giao Ban Công tác đại biểu rà soát các quy định hiện hành về công tác quản lý cán bộ đối với đại biểu Quốc hội hoạt động chuyên trách và việc thực hiện nhiệm vụ đại biểu Quốc hội để đề xuất các nội dung cần sửa đổi, bổ sung, ban hành mới; rà soát việc thực hiện các nhiệm vụ được giao trong Kế hoạch sửa đổi, bổ sung hoặc ban hành mới văn bản bảo đảm thi hành Luật Tổ chức Quốc hội năm 2014, báo cáo Ủy ban Thường vụ Quốc hội chậm nhất là tháng 12/2020.</w:t>
      </w:r>
    </w:p>
    <w:p w:rsidR="009E18F9" w:rsidRPr="009E18F9" w:rsidRDefault="009E18F9" w:rsidP="009E18F9">
      <w:pPr>
        <w:spacing w:before="60" w:after="60" w:line="312" w:lineRule="auto"/>
        <w:ind w:left="57" w:right="57" w:firstLine="680"/>
        <w:jc w:val="both"/>
        <w:rPr>
          <w:rFonts w:ascii="Times New Roman" w:eastAsia="Calibri" w:hAnsi="Times New Roman" w:cs="Times New Roman"/>
          <w:sz w:val="28"/>
          <w:szCs w:val="28"/>
        </w:rPr>
      </w:pPr>
      <w:r w:rsidRPr="009E18F9">
        <w:rPr>
          <w:rFonts w:ascii="Times New Roman" w:eastAsia="Calibri" w:hAnsi="Times New Roman" w:cs="Times New Roman"/>
          <w:sz w:val="28"/>
          <w:szCs w:val="28"/>
        </w:rPr>
        <w:t xml:space="preserve">- Giao Ủy ban Pháp luật của Quốc hội chủ trì thẩm tra dự thảo Nghị quyết quy định chức năng, nhiệm vụ, quyền hạn và cơ cấu tổ chức của Văn phòng Đoàn đại biểu Quốc hội và Hội đồng nhân dân cấp tỉnh./. </w:t>
      </w:r>
    </w:p>
    <w:p w:rsidR="009E18F9" w:rsidRPr="009E18F9" w:rsidRDefault="009E18F9" w:rsidP="009E18F9">
      <w:pPr>
        <w:spacing w:before="120" w:after="120" w:line="264" w:lineRule="auto"/>
        <w:ind w:firstLine="567"/>
        <w:jc w:val="center"/>
        <w:rPr>
          <w:rFonts w:ascii="Times New Roman" w:eastAsia="Calibri" w:hAnsi="Times New Roman" w:cs="Times New Roman"/>
          <w:sz w:val="28"/>
          <w:szCs w:val="28"/>
        </w:rPr>
      </w:pPr>
      <w:r w:rsidRPr="009E18F9">
        <w:rPr>
          <w:rFonts w:ascii="Times New Roman" w:eastAsia="Calibri" w:hAnsi="Times New Roman" w:cs="Times New Roman"/>
          <w:sz w:val="28"/>
          <w:szCs w:val="28"/>
        </w:rPr>
        <w:t>------------------------------------</w:t>
      </w:r>
    </w:p>
    <w:bookmarkEnd w:id="2"/>
    <w:p w:rsidR="009E18F9" w:rsidRPr="009E18F9" w:rsidRDefault="009E18F9" w:rsidP="009E18F9">
      <w:pPr>
        <w:spacing w:before="120" w:after="120" w:line="264" w:lineRule="auto"/>
        <w:ind w:firstLine="567"/>
        <w:rPr>
          <w:rFonts w:ascii="Times New Roman" w:eastAsia="Calibri" w:hAnsi="Times New Roman" w:cs="Times New Roman"/>
          <w:sz w:val="28"/>
          <w:szCs w:val="28"/>
        </w:rPr>
      </w:pPr>
    </w:p>
    <w:p w:rsidR="009E18F9" w:rsidRPr="009E18F9" w:rsidRDefault="009E18F9" w:rsidP="009E18F9">
      <w:pPr>
        <w:rPr>
          <w:rFonts w:ascii="Times New Roman" w:eastAsia="Calibri" w:hAnsi="Times New Roman" w:cs="Times New Roman"/>
          <w:sz w:val="28"/>
          <w:szCs w:val="28"/>
        </w:rPr>
      </w:pPr>
    </w:p>
    <w:p w:rsidR="00204BB3" w:rsidRDefault="00204BB3"/>
    <w:sectPr w:rsidR="00204BB3" w:rsidSect="002C226E">
      <w:headerReference w:type="default" r:id="rId7"/>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AE" w:rsidRDefault="009073AE" w:rsidP="009E18F9">
      <w:pPr>
        <w:spacing w:after="0" w:line="240" w:lineRule="auto"/>
      </w:pPr>
      <w:r>
        <w:separator/>
      </w:r>
    </w:p>
  </w:endnote>
  <w:endnote w:type="continuationSeparator" w:id="0">
    <w:p w:rsidR="009073AE" w:rsidRDefault="009073AE" w:rsidP="009E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6E" w:rsidRDefault="009073AE">
    <w:pPr>
      <w:pStyle w:val="Footer"/>
      <w:jc w:val="center"/>
    </w:pPr>
  </w:p>
  <w:p w:rsidR="002C226E" w:rsidRDefault="00907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AE" w:rsidRDefault="009073AE" w:rsidP="009E18F9">
      <w:pPr>
        <w:spacing w:after="0" w:line="240" w:lineRule="auto"/>
      </w:pPr>
      <w:r>
        <w:separator/>
      </w:r>
    </w:p>
  </w:footnote>
  <w:footnote w:type="continuationSeparator" w:id="0">
    <w:p w:rsidR="009073AE" w:rsidRDefault="009073AE" w:rsidP="009E18F9">
      <w:pPr>
        <w:spacing w:after="0" w:line="240" w:lineRule="auto"/>
      </w:pPr>
      <w:r>
        <w:continuationSeparator/>
      </w:r>
    </w:p>
  </w:footnote>
  <w:footnote w:id="1">
    <w:p w:rsidR="009E18F9" w:rsidRPr="007945B0" w:rsidRDefault="009E18F9" w:rsidP="009E18F9">
      <w:pPr>
        <w:pStyle w:val="FootnoteText"/>
        <w:ind w:firstLine="480"/>
      </w:pPr>
      <w:r w:rsidRPr="007945B0">
        <w:rPr>
          <w:rStyle w:val="FootnoteReference"/>
          <w:rFonts w:ascii="Times New Roman" w:hAnsi="Times New Roman"/>
        </w:rPr>
        <w:footnoteRef/>
      </w:r>
      <w:r w:rsidRPr="007945B0">
        <w:rPr>
          <w:rFonts w:ascii="Times New Roman" w:hAnsi="Times New Roman"/>
        </w:rPr>
        <w:t xml:space="preserve"> Bao gồm: Bắc Kạn, Đà Nẵng, Hà Giang, Hà Tĩnh, Lâm Đồng, Quảng Ninh, Tây Ninh, Thái Bình, Thành phố Hồ</w:t>
      </w:r>
      <w:r>
        <w:rPr>
          <w:rFonts w:ascii="Times New Roman" w:hAnsi="Times New Roman"/>
        </w:rPr>
        <w:t xml:space="preserve"> Chí Minh, </w:t>
      </w:r>
      <w:r w:rsidRPr="007945B0">
        <w:rPr>
          <w:rFonts w:ascii="Times New Roman" w:hAnsi="Times New Roman"/>
        </w:rPr>
        <w:t>Tiền Giang</w:t>
      </w:r>
      <w:r>
        <w:rPr>
          <w:rFonts w:ascii="Times New Roman" w:hAnsi="Times New Roman"/>
        </w:rPr>
        <w:t>, Yên Bái và Long An</w:t>
      </w:r>
      <w:r w:rsidRPr="007945B0">
        <w:rPr>
          <w:rFonts w:ascii="Times New Roman" w:hAnsi="Times New Roman"/>
        </w:rPr>
        <w:t>.</w:t>
      </w:r>
    </w:p>
  </w:footnote>
  <w:footnote w:id="2">
    <w:p w:rsidR="009E18F9" w:rsidRPr="00FA2918" w:rsidRDefault="009E18F9" w:rsidP="009E18F9">
      <w:pPr>
        <w:pStyle w:val="FootnoteText"/>
        <w:ind w:firstLine="480"/>
        <w:jc w:val="both"/>
      </w:pPr>
      <w:r w:rsidRPr="005A789C">
        <w:rPr>
          <w:rStyle w:val="FootnoteReference"/>
          <w:rFonts w:ascii="Times New Roman" w:hAnsi="Times New Roman"/>
        </w:rPr>
        <w:footnoteRef/>
      </w:r>
      <w:r w:rsidRPr="005A789C">
        <w:rPr>
          <w:rFonts w:ascii="Times New Roman" w:hAnsi="Times New Roman"/>
        </w:rPr>
        <w:t xml:space="preserve"> </w:t>
      </w:r>
      <w:r w:rsidRPr="00240F29">
        <w:rPr>
          <w:rFonts w:ascii="Times New Roman" w:hAnsi="Times New Roman"/>
          <w:bCs/>
          <w:iCs/>
          <w:spacing w:val="2"/>
          <w:lang w:val="it-IT"/>
        </w:rPr>
        <w:t>V</w:t>
      </w:r>
      <w:r w:rsidRPr="0031276E">
        <w:rPr>
          <w:rFonts w:ascii="Times New Roman" w:hAnsi="Times New Roman"/>
          <w:bCs/>
          <w:iCs/>
          <w:spacing w:val="2"/>
          <w:lang w:val="it-IT"/>
        </w:rPr>
        <w:t>í dụ như quy định về các trường hợp cần trưng cầu ý dân trong Luật Tổ chức Quốc hội và Luật Trưng cầu ý dân, quy định về trách nhiệm báo cáo công tác của Hội đồng Dân tộc, Ủy ban của Quốc hội trong Luật Tổ chức Quốc hội và Luật Hoạt động giám sát của Quốc hội và Hội đồng nhân dân...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6E" w:rsidRPr="008E02ED" w:rsidRDefault="009073AE">
    <w:pPr>
      <w:pStyle w:val="Header"/>
      <w:jc w:val="center"/>
      <w:rPr>
        <w:rFonts w:ascii="Times New Roman" w:hAnsi="Times New Roman"/>
        <w:sz w:val="24"/>
        <w:szCs w:val="24"/>
      </w:rPr>
    </w:pPr>
    <w:r w:rsidRPr="008E02ED">
      <w:rPr>
        <w:rFonts w:ascii="Times New Roman" w:hAnsi="Times New Roman"/>
        <w:sz w:val="24"/>
        <w:szCs w:val="24"/>
      </w:rPr>
      <w:fldChar w:fldCharType="begin"/>
    </w:r>
    <w:r w:rsidRPr="008E02ED">
      <w:rPr>
        <w:rFonts w:ascii="Times New Roman" w:hAnsi="Times New Roman"/>
        <w:sz w:val="24"/>
        <w:szCs w:val="24"/>
      </w:rPr>
      <w:instrText xml:space="preserve"> PAGE   \* MERGEFORMAT </w:instrText>
    </w:r>
    <w:r w:rsidRPr="008E02ED">
      <w:rPr>
        <w:rFonts w:ascii="Times New Roman" w:hAnsi="Times New Roman"/>
        <w:sz w:val="24"/>
        <w:szCs w:val="24"/>
      </w:rPr>
      <w:fldChar w:fldCharType="separate"/>
    </w:r>
    <w:r w:rsidR="00A75FF7">
      <w:rPr>
        <w:rFonts w:ascii="Times New Roman" w:hAnsi="Times New Roman"/>
        <w:noProof/>
        <w:sz w:val="24"/>
        <w:szCs w:val="24"/>
      </w:rPr>
      <w:t>13</w:t>
    </w:r>
    <w:r w:rsidRPr="008E02ED">
      <w:rPr>
        <w:rFonts w:ascii="Times New Roman" w:hAnsi="Times New Roman"/>
        <w:noProof/>
        <w:sz w:val="24"/>
        <w:szCs w:val="24"/>
      </w:rPr>
      <w:fldChar w:fldCharType="end"/>
    </w:r>
  </w:p>
  <w:p w:rsidR="002C226E" w:rsidRDefault="00907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F9"/>
    <w:rsid w:val="00204BB3"/>
    <w:rsid w:val="009073AE"/>
    <w:rsid w:val="009E18F9"/>
    <w:rsid w:val="00A75FF7"/>
    <w:rsid w:val="00BC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8F9"/>
  </w:style>
  <w:style w:type="paragraph" w:styleId="Footer">
    <w:name w:val="footer"/>
    <w:basedOn w:val="Normal"/>
    <w:link w:val="FooterChar"/>
    <w:uiPriority w:val="99"/>
    <w:semiHidden/>
    <w:unhideWhenUsed/>
    <w:rsid w:val="009E18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8F9"/>
  </w:style>
  <w:style w:type="paragraph" w:styleId="FootnoteText">
    <w:name w:val="footnote text"/>
    <w:basedOn w:val="Normal"/>
    <w:link w:val="FootnoteTextChar"/>
    <w:uiPriority w:val="99"/>
    <w:semiHidden/>
    <w:unhideWhenUsed/>
    <w:rsid w:val="009E1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8F9"/>
    <w:rPr>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qFormat/>
    <w:rsid w:val="009E18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8F9"/>
  </w:style>
  <w:style w:type="paragraph" w:styleId="Footer">
    <w:name w:val="footer"/>
    <w:basedOn w:val="Normal"/>
    <w:link w:val="FooterChar"/>
    <w:uiPriority w:val="99"/>
    <w:semiHidden/>
    <w:unhideWhenUsed/>
    <w:rsid w:val="009E18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8F9"/>
  </w:style>
  <w:style w:type="paragraph" w:styleId="FootnoteText">
    <w:name w:val="footnote text"/>
    <w:basedOn w:val="Normal"/>
    <w:link w:val="FootnoteTextChar"/>
    <w:uiPriority w:val="99"/>
    <w:semiHidden/>
    <w:unhideWhenUsed/>
    <w:rsid w:val="009E1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8F9"/>
    <w:rPr>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qFormat/>
    <w:rsid w:val="009E1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6D461-6F68-4169-8D33-57279AED2429}"/>
</file>

<file path=customXml/itemProps2.xml><?xml version="1.0" encoding="utf-8"?>
<ds:datastoreItem xmlns:ds="http://schemas.openxmlformats.org/officeDocument/2006/customXml" ds:itemID="{8FDC35EA-E171-454C-8A6B-FA1E1F73145E}"/>
</file>

<file path=customXml/itemProps3.xml><?xml version="1.0" encoding="utf-8"?>
<ds:datastoreItem xmlns:ds="http://schemas.openxmlformats.org/officeDocument/2006/customXml" ds:itemID="{C89ABF4A-BEEC-462F-B541-B850ADFE4FF4}"/>
</file>

<file path=docProps/app.xml><?xml version="1.0" encoding="utf-8"?>
<Properties xmlns="http://schemas.openxmlformats.org/officeDocument/2006/extended-properties" xmlns:vt="http://schemas.openxmlformats.org/officeDocument/2006/docPropsVTypes">
  <Template>Normal</Template>
  <TotalTime>1</TotalTime>
  <Pages>13</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2020-09-10T21:09:00Z</dcterms:created>
  <dcterms:modified xsi:type="dcterms:W3CDTF">2020-09-10T21:09:00Z</dcterms:modified>
</cp:coreProperties>
</file>